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D9" w:rsidRDefault="00F518D9">
      <w:pPr>
        <w:rPr>
          <w:rFonts w:ascii="Cambria" w:hAnsi="Cambria" w:cs="Arial"/>
          <w:sz w:val="20"/>
          <w:szCs w:val="20"/>
        </w:rPr>
      </w:pPr>
    </w:p>
    <w:p w:rsidR="002E4E4B" w:rsidRPr="00AF4AE5" w:rsidRDefault="002E4E4B">
      <w:pPr>
        <w:rPr>
          <w:rFonts w:ascii="Cambria" w:hAnsi="Cambria" w:cs="Arial"/>
          <w:sz w:val="20"/>
          <w:szCs w:val="20"/>
        </w:rPr>
      </w:pPr>
    </w:p>
    <w:p w:rsidR="00F518D9" w:rsidRPr="00AF4AE5" w:rsidRDefault="00F518D9" w:rsidP="00A633B6">
      <w:pPr>
        <w:rPr>
          <w:rFonts w:ascii="Cambria" w:hAnsi="Cambria"/>
          <w:sz w:val="22"/>
          <w:szCs w:val="22"/>
        </w:rPr>
      </w:pPr>
      <w:r w:rsidRPr="00AF4AE5">
        <w:rPr>
          <w:rFonts w:ascii="Cambria" w:hAnsi="Cambria"/>
          <w:sz w:val="22"/>
          <w:szCs w:val="22"/>
        </w:rPr>
        <w:t>11th December 2013</w:t>
      </w:r>
    </w:p>
    <w:p w:rsidR="00F518D9" w:rsidRPr="00AF4AE5" w:rsidRDefault="00F518D9" w:rsidP="00A633B6">
      <w:pPr>
        <w:rPr>
          <w:rFonts w:ascii="Cambria" w:hAnsi="Cambria"/>
          <w:color w:val="1F497D"/>
          <w:sz w:val="22"/>
          <w:szCs w:val="22"/>
        </w:rPr>
      </w:pPr>
    </w:p>
    <w:p w:rsidR="00F518D9" w:rsidRPr="00AF4AE5" w:rsidRDefault="00F518D9" w:rsidP="00A633B6">
      <w:pPr>
        <w:rPr>
          <w:rFonts w:ascii="Cambria" w:hAnsi="Cambria"/>
          <w:b/>
          <w:sz w:val="22"/>
          <w:szCs w:val="22"/>
        </w:rPr>
      </w:pPr>
      <w:r w:rsidRPr="00AF4AE5">
        <w:rPr>
          <w:rFonts w:ascii="Cambria" w:hAnsi="Cambria"/>
          <w:b/>
          <w:sz w:val="22"/>
          <w:szCs w:val="22"/>
        </w:rPr>
        <w:t>TO WHOM IT MAY CONCERN</w:t>
      </w:r>
    </w:p>
    <w:p w:rsidR="00F518D9" w:rsidRPr="00AF4AE5" w:rsidRDefault="00F518D9" w:rsidP="00A633B6">
      <w:pPr>
        <w:rPr>
          <w:rFonts w:ascii="Cambria" w:hAnsi="Cambria"/>
          <w:b/>
          <w:sz w:val="22"/>
          <w:szCs w:val="22"/>
        </w:rPr>
      </w:pPr>
    </w:p>
    <w:p w:rsidR="00F518D9" w:rsidRPr="00AF4AE5" w:rsidRDefault="00F518D9" w:rsidP="00A633B6">
      <w:pPr>
        <w:rPr>
          <w:rFonts w:ascii="Cambria" w:hAnsi="Cambria"/>
          <w:b/>
          <w:sz w:val="22"/>
          <w:szCs w:val="22"/>
        </w:rPr>
      </w:pPr>
      <w:r w:rsidRPr="00AF4AE5">
        <w:rPr>
          <w:rFonts w:ascii="Cambria" w:hAnsi="Cambria"/>
          <w:b/>
          <w:sz w:val="22"/>
          <w:szCs w:val="22"/>
        </w:rPr>
        <w:t xml:space="preserve">RE: </w:t>
      </w:r>
      <w:r w:rsidR="00164110">
        <w:rPr>
          <w:rFonts w:ascii="Cambria" w:hAnsi="Cambria"/>
          <w:b/>
          <w:sz w:val="22"/>
          <w:szCs w:val="22"/>
        </w:rPr>
        <w:t>FORTHCOMING</w:t>
      </w:r>
      <w:r w:rsidRPr="00AF4AE5">
        <w:rPr>
          <w:rFonts w:ascii="Cambria" w:hAnsi="Cambria"/>
          <w:b/>
          <w:sz w:val="22"/>
          <w:szCs w:val="22"/>
        </w:rPr>
        <w:t xml:space="preserve"> AUCTION OF A PERMIT TO HUNT A NAMIBIAN BLACK RHINO BY DALLAS SAFARI CLUB</w:t>
      </w:r>
    </w:p>
    <w:p w:rsidR="00F518D9" w:rsidRPr="00AF4AE5" w:rsidRDefault="00F518D9" w:rsidP="00A633B6">
      <w:pPr>
        <w:rPr>
          <w:rFonts w:ascii="Cambria" w:hAnsi="Cambria"/>
          <w:color w:val="1F497D"/>
          <w:sz w:val="22"/>
          <w:szCs w:val="22"/>
        </w:rPr>
      </w:pPr>
    </w:p>
    <w:p w:rsidR="00F518D9" w:rsidRPr="00AF4AE5" w:rsidRDefault="00F518D9" w:rsidP="00A633B6">
      <w:pPr>
        <w:pStyle w:val="PlainText"/>
        <w:rPr>
          <w:rFonts w:ascii="Cambria" w:hAnsi="Cambria"/>
        </w:rPr>
      </w:pPr>
      <w:r w:rsidRPr="00AF4AE5">
        <w:rPr>
          <w:rFonts w:ascii="Cambria" w:hAnsi="Cambria"/>
        </w:rPr>
        <w:t>This letter provides advice and input from IUCN's Sustainable Use and Livelihoods Specialist Group (SULi</w:t>
      </w:r>
      <w:r w:rsidR="00756738">
        <w:rPr>
          <w:rFonts w:ascii="Cambria" w:hAnsi="Cambria"/>
        </w:rPr>
        <w:t>, www.iucn.org/suli</w:t>
      </w:r>
      <w:r w:rsidRPr="00AF4AE5">
        <w:rPr>
          <w:rFonts w:ascii="Cambria" w:hAnsi="Cambria"/>
        </w:rPr>
        <w:t xml:space="preserve">) on the </w:t>
      </w:r>
      <w:r w:rsidR="00164110">
        <w:rPr>
          <w:rFonts w:ascii="Cambria" w:hAnsi="Cambria"/>
        </w:rPr>
        <w:t>forthcoming</w:t>
      </w:r>
      <w:r w:rsidRPr="00AF4AE5">
        <w:rPr>
          <w:rFonts w:ascii="Cambria" w:hAnsi="Cambria"/>
        </w:rPr>
        <w:t xml:space="preserve"> auction by Dallas Safari Club (DSC) of a permit to hunt one black rhino in Namibia, as granted to them by the Government of Namibia. SULi is a cross-Commissional initiative of IUCN's Commission on Environmental, Economic and Social Policy (CEESP) and its Species Survival Commission (SSC), and includes around 300 specialists and experts from across the globe on various aspects of sustainable use of wild species and its contributions to local livelihoods.  </w:t>
      </w:r>
    </w:p>
    <w:p w:rsidR="00F518D9" w:rsidRPr="00AF4AE5" w:rsidRDefault="00F518D9" w:rsidP="00A633B6">
      <w:pPr>
        <w:pStyle w:val="PlainText"/>
        <w:rPr>
          <w:rFonts w:ascii="Cambria" w:hAnsi="Cambria"/>
        </w:rPr>
      </w:pPr>
    </w:p>
    <w:p w:rsidR="00F518D9" w:rsidRPr="00AF4AE5" w:rsidRDefault="00F518D9" w:rsidP="00A633B6">
      <w:pPr>
        <w:pStyle w:val="PlainText"/>
        <w:rPr>
          <w:rFonts w:ascii="Cambria" w:hAnsi="Cambria"/>
        </w:rPr>
      </w:pPr>
      <w:r w:rsidRPr="00AF4AE5">
        <w:rPr>
          <w:rFonts w:ascii="Cambria" w:hAnsi="Cambria"/>
        </w:rPr>
        <w:t>From a conservation perspective, we believe there are sound and compelling reasons to support this auction, and do not see any valid basis for opposing it. We note that:</w:t>
      </w:r>
    </w:p>
    <w:p w:rsidR="00F518D9" w:rsidRPr="00AF4AE5" w:rsidRDefault="00F518D9" w:rsidP="00A633B6">
      <w:pPr>
        <w:pStyle w:val="PlainText"/>
        <w:rPr>
          <w:rFonts w:ascii="Cambria" w:hAnsi="Cambria"/>
        </w:rPr>
      </w:pPr>
    </w:p>
    <w:p w:rsidR="001116AE" w:rsidRPr="001116AE" w:rsidRDefault="00F518D9" w:rsidP="001116AE">
      <w:pPr>
        <w:pStyle w:val="ListParagraph"/>
        <w:numPr>
          <w:ilvl w:val="0"/>
          <w:numId w:val="2"/>
        </w:numPr>
        <w:rPr>
          <w:rFonts w:ascii="Cambria" w:hAnsi="Cambria" w:cs="Consolas"/>
          <w:sz w:val="22"/>
          <w:szCs w:val="21"/>
          <w:lang w:eastAsia="en-US"/>
        </w:rPr>
      </w:pPr>
      <w:r w:rsidRPr="001116AE">
        <w:rPr>
          <w:rFonts w:ascii="Cambria" w:hAnsi="Cambria" w:cs="Consolas"/>
          <w:sz w:val="22"/>
          <w:szCs w:val="21"/>
          <w:lang w:eastAsia="en-US"/>
        </w:rPr>
        <w:t>The auction is supported by the Government of Namibia, which has approved the permit to be auctioned by DSC. Namibia has an outstanding, globall</w:t>
      </w:r>
      <w:r w:rsidR="00234F7C" w:rsidRPr="001116AE">
        <w:rPr>
          <w:rFonts w:ascii="Cambria" w:hAnsi="Cambria" w:cs="Consolas"/>
          <w:sz w:val="22"/>
          <w:szCs w:val="21"/>
          <w:lang w:eastAsia="en-US"/>
        </w:rPr>
        <w:t xml:space="preserve">y recognised conservation track </w:t>
      </w:r>
      <w:r w:rsidRPr="001116AE">
        <w:rPr>
          <w:rFonts w:ascii="Cambria" w:hAnsi="Cambria" w:cs="Consolas"/>
          <w:sz w:val="22"/>
          <w:szCs w:val="21"/>
          <w:lang w:eastAsia="en-US"/>
        </w:rPr>
        <w:t xml:space="preserve">record. Over recent decades, wildlife numbers (including </w:t>
      </w:r>
      <w:r w:rsidR="001116AE" w:rsidRPr="001116AE">
        <w:rPr>
          <w:rFonts w:ascii="Cambria" w:hAnsi="Cambria" w:cs="Consolas"/>
          <w:sz w:val="22"/>
          <w:szCs w:val="21"/>
          <w:lang w:eastAsia="en-US"/>
        </w:rPr>
        <w:t xml:space="preserve">both </w:t>
      </w:r>
      <w:r w:rsidRPr="001116AE">
        <w:rPr>
          <w:rFonts w:ascii="Cambria" w:hAnsi="Cambria" w:cs="Consolas"/>
          <w:sz w:val="22"/>
          <w:szCs w:val="21"/>
          <w:lang w:eastAsia="en-US"/>
        </w:rPr>
        <w:t>black and white rhino) have been progressively increasing – not only in protected areas, but also on freehold and communal lands. This is near-unique in any developing country. The black rhino population now stands at around 1750</w:t>
      </w:r>
      <w:r w:rsidRPr="00AF4AE5">
        <w:rPr>
          <w:vertAlign w:val="superscript"/>
          <w:lang w:eastAsia="en-US"/>
        </w:rPr>
        <w:footnoteReference w:id="1"/>
      </w:r>
      <w:r w:rsidRPr="001116AE">
        <w:rPr>
          <w:rFonts w:ascii="Cambria" w:hAnsi="Cambria" w:cs="Consolas"/>
          <w:sz w:val="22"/>
          <w:szCs w:val="21"/>
          <w:lang w:eastAsia="en-US"/>
        </w:rPr>
        <w:t>. Namibia has experienced very few poaching incidents despite the alarming escalation of poaching in neighbouring countries</w:t>
      </w:r>
      <w:r w:rsidRPr="00AF4AE5">
        <w:rPr>
          <w:vertAlign w:val="superscript"/>
          <w:lang w:eastAsia="en-US"/>
        </w:rPr>
        <w:footnoteReference w:id="2"/>
      </w:r>
      <w:r w:rsidRPr="001116AE">
        <w:rPr>
          <w:rFonts w:ascii="Cambria" w:hAnsi="Cambria" w:cs="Consolas"/>
          <w:sz w:val="22"/>
          <w:szCs w:val="21"/>
          <w:lang w:eastAsia="en-US"/>
        </w:rPr>
        <w:t>, and despite its large free-ranging population.</w:t>
      </w:r>
      <w:r w:rsidR="001116AE" w:rsidRPr="001116AE">
        <w:rPr>
          <w:rFonts w:ascii="Cambria" w:hAnsi="Cambria" w:cs="Consolas"/>
          <w:sz w:val="22"/>
          <w:szCs w:val="21"/>
          <w:lang w:eastAsia="en-US"/>
        </w:rPr>
        <w:t xml:space="preserve"> </w:t>
      </w:r>
    </w:p>
    <w:p w:rsidR="001116AE" w:rsidRDefault="001116AE" w:rsidP="001116AE">
      <w:pPr>
        <w:rPr>
          <w:rFonts w:ascii="Cambria" w:hAnsi="Cambria" w:cs="Consolas"/>
          <w:sz w:val="22"/>
          <w:szCs w:val="21"/>
          <w:lang w:eastAsia="en-US"/>
        </w:rPr>
      </w:pPr>
    </w:p>
    <w:p w:rsidR="001116AE" w:rsidRPr="001116AE" w:rsidRDefault="001116AE" w:rsidP="001116AE">
      <w:pPr>
        <w:pStyle w:val="ListParagraph"/>
        <w:numPr>
          <w:ilvl w:val="0"/>
          <w:numId w:val="2"/>
        </w:numPr>
        <w:rPr>
          <w:rFonts w:asciiTheme="minorHAnsi" w:hAnsiTheme="minorHAnsi" w:cs="Consolas"/>
          <w:sz w:val="22"/>
          <w:szCs w:val="21"/>
          <w:lang w:eastAsia="en-US"/>
        </w:rPr>
      </w:pPr>
      <w:r w:rsidRPr="001116AE">
        <w:rPr>
          <w:rFonts w:ascii="Cambria" w:hAnsi="Cambria" w:cs="Consolas"/>
          <w:sz w:val="22"/>
          <w:szCs w:val="21"/>
          <w:lang w:eastAsia="en-US"/>
        </w:rPr>
        <w:t xml:space="preserve">The purpose of the auction of this permit </w:t>
      </w:r>
      <w:r>
        <w:rPr>
          <w:rFonts w:ascii="Cambria" w:hAnsi="Cambria" w:cs="Consolas"/>
          <w:sz w:val="22"/>
          <w:szCs w:val="21"/>
          <w:lang w:eastAsia="en-US"/>
        </w:rPr>
        <w:t xml:space="preserve">in the USA </w:t>
      </w:r>
      <w:r w:rsidRPr="001116AE">
        <w:rPr>
          <w:rFonts w:ascii="Cambria" w:hAnsi="Cambria" w:cs="Consolas"/>
          <w:sz w:val="22"/>
          <w:szCs w:val="21"/>
          <w:lang w:eastAsia="en-US"/>
        </w:rPr>
        <w:t>(which Namibia would otherwise auction in-country) is to raise a larger amount of dedicated funding from the small number of black rhino it allows to be hunted each year</w:t>
      </w:r>
      <w:r>
        <w:rPr>
          <w:rFonts w:ascii="Cambria" w:hAnsi="Cambria" w:cs="Consolas"/>
          <w:sz w:val="22"/>
          <w:szCs w:val="21"/>
          <w:lang w:eastAsia="en-US"/>
        </w:rPr>
        <w:t xml:space="preserve"> as part of its rhino conservation strategy. </w:t>
      </w:r>
    </w:p>
    <w:p w:rsidR="00F518D9" w:rsidRDefault="00F518D9" w:rsidP="0075100F">
      <w:pPr>
        <w:rPr>
          <w:rFonts w:ascii="Cambria" w:hAnsi="Cambria" w:cs="Consolas"/>
          <w:sz w:val="22"/>
          <w:szCs w:val="21"/>
          <w:lang w:eastAsia="en-US"/>
        </w:rPr>
      </w:pPr>
    </w:p>
    <w:p w:rsidR="00F518D9" w:rsidRPr="00AF4AE5" w:rsidRDefault="00F518D9" w:rsidP="001116AE">
      <w:pPr>
        <w:pStyle w:val="PlainText"/>
        <w:numPr>
          <w:ilvl w:val="0"/>
          <w:numId w:val="2"/>
        </w:numPr>
        <w:rPr>
          <w:rFonts w:ascii="Cambria" w:hAnsi="Cambria"/>
        </w:rPr>
      </w:pPr>
      <w:r w:rsidRPr="00AF4AE5">
        <w:rPr>
          <w:rFonts w:ascii="Cambria" w:hAnsi="Cambria"/>
        </w:rPr>
        <w:t>Sustainable use, including through trophy hunting, is a fundamental pillar of Namibia's conservation approach, and instrumental in its success. Through farsighted legislation, Namibia has empowered rural communities and private landholders to benefit directly from wildlife, thus building up an enormous support base for conservation amongst these groups. Sustainable use of wildlife contributes directly to the livelihoods of many rural communities, dramatically reducing levels of poaching and human-wildlife conflict</w:t>
      </w:r>
      <w:r w:rsidRPr="00AF4AE5">
        <w:rPr>
          <w:rStyle w:val="FootnoteReference"/>
          <w:rFonts w:ascii="Cambria" w:hAnsi="Cambria" w:cs="Consolas"/>
        </w:rPr>
        <w:footnoteReference w:id="3"/>
      </w:r>
      <w:r w:rsidRPr="00AF4AE5">
        <w:rPr>
          <w:rFonts w:ascii="Cambria" w:hAnsi="Cambria"/>
        </w:rPr>
        <w:t xml:space="preserve">, and dramatically </w:t>
      </w:r>
      <w:r w:rsidRPr="00AF4AE5">
        <w:rPr>
          <w:rFonts w:ascii="Cambria" w:hAnsi="Cambria"/>
        </w:rPr>
        <w:lastRenderedPageBreak/>
        <w:t>expanding the area of land devoted to wildlife as a primary land use. As a result of its sustainable use approach, Namibia currently has 44% of its land area under some form of conservation</w:t>
      </w:r>
      <w:r w:rsidRPr="00AF4AE5">
        <w:rPr>
          <w:rStyle w:val="FootnoteReference"/>
          <w:rFonts w:ascii="Cambria" w:hAnsi="Cambria" w:cs="Consolas"/>
        </w:rPr>
        <w:footnoteReference w:id="4"/>
      </w:r>
      <w:r w:rsidRPr="00AF4AE5">
        <w:rPr>
          <w:rFonts w:ascii="Cambria" w:hAnsi="Cambria"/>
        </w:rPr>
        <w:t>, a remarkable and unrivalled achievement.</w:t>
      </w:r>
    </w:p>
    <w:p w:rsidR="00F518D9" w:rsidRPr="00AF4AE5" w:rsidRDefault="00F518D9" w:rsidP="001116AE">
      <w:pPr>
        <w:pStyle w:val="PlainText"/>
        <w:ind w:firstLine="40"/>
        <w:rPr>
          <w:rFonts w:ascii="Cambria" w:hAnsi="Cambria"/>
        </w:rPr>
      </w:pPr>
    </w:p>
    <w:p w:rsidR="00F518D9" w:rsidRPr="00AF4AE5" w:rsidRDefault="00F518D9" w:rsidP="001116AE">
      <w:pPr>
        <w:pStyle w:val="PlainText"/>
        <w:numPr>
          <w:ilvl w:val="0"/>
          <w:numId w:val="2"/>
        </w:numPr>
        <w:rPr>
          <w:rFonts w:ascii="Cambria" w:hAnsi="Cambria"/>
        </w:rPr>
      </w:pPr>
      <w:r w:rsidRPr="00AF4AE5">
        <w:rPr>
          <w:rFonts w:ascii="Cambria" w:hAnsi="Cambria"/>
        </w:rPr>
        <w:t>Carefully managed hunting has prove</w:t>
      </w:r>
      <w:r w:rsidR="00063278">
        <w:rPr>
          <w:rFonts w:ascii="Cambria" w:hAnsi="Cambria"/>
        </w:rPr>
        <w:t>n</w:t>
      </w:r>
      <w:r w:rsidRPr="00AF4AE5">
        <w:rPr>
          <w:rFonts w:ascii="Cambria" w:hAnsi="Cambria"/>
        </w:rPr>
        <w:t xml:space="preserve"> to be an effective means of encouraging and enabling rural communities, private land holders, and indeed governments in a number of countries to protect and invest in wildlife. </w:t>
      </w:r>
      <w:r w:rsidR="0006454C">
        <w:rPr>
          <w:rFonts w:ascii="Cambria" w:hAnsi="Cambria"/>
        </w:rPr>
        <w:t>Photo-</w:t>
      </w:r>
      <w:r w:rsidRPr="00AF4AE5">
        <w:rPr>
          <w:rFonts w:ascii="Cambria" w:hAnsi="Cambria"/>
        </w:rPr>
        <w:t>tourism is often proposed as an alternative</w:t>
      </w:r>
      <w:r w:rsidR="0006454C">
        <w:rPr>
          <w:rFonts w:ascii="Cambria" w:hAnsi="Cambria"/>
        </w:rPr>
        <w:t xml:space="preserve"> to hunting</w:t>
      </w:r>
      <w:r w:rsidRPr="00AF4AE5">
        <w:rPr>
          <w:rFonts w:ascii="Cambria" w:hAnsi="Cambria"/>
        </w:rPr>
        <w:t xml:space="preserve"> and can be very effective in some contexts</w:t>
      </w:r>
      <w:r w:rsidR="0006454C">
        <w:rPr>
          <w:rFonts w:ascii="Cambria" w:hAnsi="Cambria"/>
        </w:rPr>
        <w:t>. However</w:t>
      </w:r>
      <w:r w:rsidR="0006454C" w:rsidRPr="00AF4AE5">
        <w:rPr>
          <w:rFonts w:ascii="Cambria" w:hAnsi="Cambria"/>
        </w:rPr>
        <w:t>, unlike trophy hunting</w:t>
      </w:r>
      <w:r w:rsidR="00D504D8">
        <w:rPr>
          <w:rFonts w:ascii="Cambria" w:hAnsi="Cambria"/>
        </w:rPr>
        <w:t>,</w:t>
      </w:r>
      <w:r w:rsidR="0006454C" w:rsidRPr="00AF4AE5">
        <w:rPr>
          <w:rFonts w:ascii="Cambria" w:hAnsi="Cambria"/>
        </w:rPr>
        <w:t xml:space="preserve"> </w:t>
      </w:r>
      <w:r w:rsidR="0006454C">
        <w:rPr>
          <w:rFonts w:ascii="Cambria" w:hAnsi="Cambria"/>
        </w:rPr>
        <w:t>tourism</w:t>
      </w:r>
      <w:r w:rsidR="0006454C" w:rsidRPr="00AF4AE5">
        <w:rPr>
          <w:rFonts w:ascii="Cambria" w:hAnsi="Cambria"/>
        </w:rPr>
        <w:t xml:space="preserve"> is capital intensive, requires considerable infrastructure, has higher environmental impacts, and is not viable in many landscapes (such as those distant from tourist routes, with still-low wildlife populations, lacking the required scenic qualities</w:t>
      </w:r>
      <w:r w:rsidR="0006454C">
        <w:rPr>
          <w:rFonts w:ascii="Cambria" w:hAnsi="Cambria"/>
        </w:rPr>
        <w:t>, or where there is political unrest</w:t>
      </w:r>
      <w:r w:rsidR="0006454C" w:rsidRPr="00AF4AE5">
        <w:rPr>
          <w:rFonts w:ascii="Cambria" w:hAnsi="Cambria"/>
        </w:rPr>
        <w:t xml:space="preserve">). </w:t>
      </w:r>
      <w:r w:rsidR="0006454C">
        <w:rPr>
          <w:rFonts w:ascii="Cambria" w:hAnsi="Cambria"/>
        </w:rPr>
        <w:t>In Namibia</w:t>
      </w:r>
      <w:r w:rsidR="00FB21DD">
        <w:rPr>
          <w:rFonts w:ascii="Cambria" w:hAnsi="Cambria"/>
        </w:rPr>
        <w:t>,</w:t>
      </w:r>
      <w:r w:rsidR="0006454C">
        <w:rPr>
          <w:rFonts w:ascii="Cambria" w:hAnsi="Cambria"/>
        </w:rPr>
        <w:t xml:space="preserve"> tourism and trophy hunting are complementary, typically taking </w:t>
      </w:r>
      <w:r w:rsidR="00FB21DD">
        <w:rPr>
          <w:rFonts w:ascii="Cambria" w:hAnsi="Cambria"/>
        </w:rPr>
        <w:t xml:space="preserve">place on the same areas of land, with trophy hunting </w:t>
      </w:r>
      <w:r w:rsidR="004B4A4A">
        <w:rPr>
          <w:rFonts w:ascii="Cambria" w:hAnsi="Cambria"/>
        </w:rPr>
        <w:t>frequently</w:t>
      </w:r>
      <w:r w:rsidR="00FB21DD">
        <w:rPr>
          <w:rFonts w:ascii="Cambria" w:hAnsi="Cambria"/>
        </w:rPr>
        <w:t xml:space="preserve"> more important in the early stages of developm</w:t>
      </w:r>
      <w:r w:rsidR="00D504D8">
        <w:rPr>
          <w:rFonts w:ascii="Cambria" w:hAnsi="Cambria"/>
        </w:rPr>
        <w:t>ent of wildlife-based land uses.</w:t>
      </w:r>
    </w:p>
    <w:p w:rsidR="00F518D9" w:rsidRPr="00AF4AE5" w:rsidRDefault="00F518D9" w:rsidP="004F21CC">
      <w:pPr>
        <w:pStyle w:val="PlainText"/>
        <w:rPr>
          <w:rFonts w:ascii="Cambria" w:hAnsi="Cambria"/>
        </w:rPr>
      </w:pPr>
    </w:p>
    <w:p w:rsidR="00F518D9" w:rsidRPr="00AF4AE5" w:rsidRDefault="00F518D9" w:rsidP="001116AE">
      <w:pPr>
        <w:pStyle w:val="PlainText"/>
        <w:numPr>
          <w:ilvl w:val="0"/>
          <w:numId w:val="2"/>
        </w:numPr>
        <w:rPr>
          <w:rFonts w:ascii="Cambria" w:hAnsi="Cambria"/>
        </w:rPr>
      </w:pPr>
      <w:r w:rsidRPr="00AF4AE5">
        <w:rPr>
          <w:rFonts w:ascii="Cambria" w:hAnsi="Cambria"/>
        </w:rPr>
        <w:t>The current, well-justified international concern over the escalating and appalling level of wildlife crime can lead to some confusion with legitimate, well-managed sustainable use, including trophy hunting. Well-managed trophy hunting has little to do with poaching, and indeed can be a key tool to help combat it</w:t>
      </w:r>
      <w:r w:rsidRPr="00AF4AE5">
        <w:rPr>
          <w:rStyle w:val="FootnoteReference"/>
          <w:rFonts w:ascii="Cambria" w:hAnsi="Cambria" w:cs="Consolas"/>
        </w:rPr>
        <w:footnoteReference w:id="5"/>
      </w:r>
      <w:r w:rsidRPr="00AF4AE5">
        <w:rPr>
          <w:rFonts w:ascii="Cambria" w:hAnsi="Cambria"/>
        </w:rPr>
        <w:t xml:space="preserve">. In Namibia, the benefits for rural communities from wildlife use have dramatically reduced levels of poaching over recent decades, and made communities powerful partners in detecting and combating wildlife crime. Trophy hunting provides not just incentive but revenue for anti-poaching efforts: without it, communal conservancies and landholders would not be able to employ the upwards of 3000 </w:t>
      </w:r>
      <w:r w:rsidR="00E50579">
        <w:rPr>
          <w:rFonts w:ascii="Cambria" w:hAnsi="Cambria"/>
        </w:rPr>
        <w:t xml:space="preserve">field rangers </w:t>
      </w:r>
      <w:r w:rsidRPr="00AF4AE5">
        <w:rPr>
          <w:rFonts w:ascii="Cambria" w:hAnsi="Cambria"/>
        </w:rPr>
        <w:t>employed to protect wildlife and enforce regulations on wildlife use</w:t>
      </w:r>
      <w:r w:rsidRPr="00AF4AE5">
        <w:rPr>
          <w:rStyle w:val="FootnoteReference"/>
          <w:rFonts w:ascii="Cambria" w:hAnsi="Cambria" w:cs="Consolas"/>
        </w:rPr>
        <w:footnoteReference w:id="6"/>
      </w:r>
      <w:r w:rsidRPr="00AF4AE5">
        <w:rPr>
          <w:rFonts w:ascii="Cambria" w:hAnsi="Cambria"/>
        </w:rPr>
        <w:t>, or establish the sophisticated surveillance and informer networks in place. There is also a positive anti-poaching deterrent from having professional hunters traversing remote areas. These impacts have been born</w:t>
      </w:r>
      <w:r w:rsidR="001116AE">
        <w:rPr>
          <w:rFonts w:ascii="Cambria" w:hAnsi="Cambria"/>
        </w:rPr>
        <w:t>e</w:t>
      </w:r>
      <w:r w:rsidRPr="00AF4AE5">
        <w:rPr>
          <w:rFonts w:ascii="Cambria" w:hAnsi="Cambria"/>
        </w:rPr>
        <w:t xml:space="preserve"> out for rhino poaching in Namibia</w:t>
      </w:r>
      <w:r w:rsidR="003150C7">
        <w:rPr>
          <w:rFonts w:ascii="Cambria" w:hAnsi="Cambria"/>
        </w:rPr>
        <w:t xml:space="preserve">: it has an excellent track record of apprehending the perpetrators of the </w:t>
      </w:r>
      <w:r w:rsidR="001116AE">
        <w:rPr>
          <w:rFonts w:ascii="Cambria" w:hAnsi="Cambria"/>
        </w:rPr>
        <w:t xml:space="preserve">small number </w:t>
      </w:r>
      <w:r w:rsidRPr="00AF4AE5">
        <w:rPr>
          <w:rFonts w:ascii="Cambria" w:hAnsi="Cambria"/>
        </w:rPr>
        <w:t xml:space="preserve">of rhino poaching incidents </w:t>
      </w:r>
      <w:r w:rsidR="001116AE">
        <w:rPr>
          <w:rFonts w:ascii="Cambria" w:hAnsi="Cambria"/>
        </w:rPr>
        <w:t>over recent years</w:t>
      </w:r>
      <w:r w:rsidR="001116AE">
        <w:rPr>
          <w:rStyle w:val="FootnoteReference"/>
          <w:rFonts w:ascii="Cambria" w:hAnsi="Cambria"/>
        </w:rPr>
        <w:footnoteReference w:id="7"/>
      </w:r>
      <w:r w:rsidR="003150C7">
        <w:rPr>
          <w:rFonts w:ascii="Cambria" w:hAnsi="Cambria"/>
        </w:rPr>
        <w:t>,</w:t>
      </w:r>
      <w:r w:rsidRPr="00AF4AE5">
        <w:rPr>
          <w:rFonts w:ascii="Cambria" w:hAnsi="Cambria"/>
        </w:rPr>
        <w:t xml:space="preserve"> directly as a result of support </w:t>
      </w:r>
      <w:r w:rsidR="00402A18">
        <w:rPr>
          <w:rFonts w:ascii="Cambria" w:hAnsi="Cambria"/>
        </w:rPr>
        <w:t xml:space="preserve">for </w:t>
      </w:r>
      <w:r w:rsidR="00377C3D">
        <w:rPr>
          <w:rFonts w:ascii="Cambria" w:hAnsi="Cambria"/>
        </w:rPr>
        <w:t>and cooperation with enforcement agencies by</w:t>
      </w:r>
      <w:r w:rsidRPr="00AF4AE5">
        <w:rPr>
          <w:rFonts w:ascii="Cambria" w:hAnsi="Cambria"/>
        </w:rPr>
        <w:t xml:space="preserve"> local communities. </w:t>
      </w:r>
    </w:p>
    <w:p w:rsidR="00F518D9" w:rsidRPr="00AF4AE5" w:rsidRDefault="00F518D9" w:rsidP="004F21CC">
      <w:pPr>
        <w:pStyle w:val="PlainText"/>
        <w:rPr>
          <w:rFonts w:ascii="Cambria" w:hAnsi="Cambria"/>
        </w:rPr>
      </w:pPr>
    </w:p>
    <w:p w:rsidR="00CF64A2" w:rsidRDefault="00F518D9" w:rsidP="001116AE">
      <w:pPr>
        <w:pStyle w:val="PlainText"/>
        <w:numPr>
          <w:ilvl w:val="0"/>
          <w:numId w:val="2"/>
        </w:numPr>
        <w:rPr>
          <w:rFonts w:ascii="Cambria" w:hAnsi="Cambria"/>
        </w:rPr>
      </w:pPr>
      <w:r w:rsidRPr="00AF4AE5">
        <w:rPr>
          <w:rFonts w:ascii="Cambria" w:hAnsi="Cambria"/>
        </w:rPr>
        <w:t xml:space="preserve">The entire income from the auction of the permit will be paid into the the Namibian Game Products Trust Fund (GPTF). </w:t>
      </w:r>
      <w:r w:rsidR="00CF64A2">
        <w:rPr>
          <w:rFonts w:ascii="Cambria" w:hAnsi="Cambria"/>
        </w:rPr>
        <w:t>Maximising revenue to this fund</w:t>
      </w:r>
      <w:r w:rsidR="00223023">
        <w:rPr>
          <w:rFonts w:ascii="Cambria" w:hAnsi="Cambria"/>
        </w:rPr>
        <w:t xml:space="preserve"> will directly support practical</w:t>
      </w:r>
      <w:r w:rsidR="00CF64A2">
        <w:rPr>
          <w:rFonts w:ascii="Cambria" w:hAnsi="Cambria"/>
        </w:rPr>
        <w:t xml:space="preserve"> and important rhino conservation work. </w:t>
      </w:r>
      <w:r w:rsidRPr="00AF4AE5">
        <w:rPr>
          <w:rFonts w:ascii="Cambria" w:hAnsi="Cambria"/>
        </w:rPr>
        <w:t xml:space="preserve">This hunt </w:t>
      </w:r>
      <w:r w:rsidRPr="00AF4AE5">
        <w:rPr>
          <w:rFonts w:ascii="Cambria" w:hAnsi="Cambria"/>
        </w:rPr>
        <w:lastRenderedPageBreak/>
        <w:t>will be the sixth hunt of a post-reproduc</w:t>
      </w:r>
      <w:r>
        <w:rPr>
          <w:rFonts w:ascii="Cambria" w:hAnsi="Cambria"/>
        </w:rPr>
        <w:t>tive male black rhino in Namiba, and t</w:t>
      </w:r>
      <w:r w:rsidRPr="00AF4AE5">
        <w:rPr>
          <w:rFonts w:ascii="Cambria" w:hAnsi="Cambria"/>
        </w:rPr>
        <w:t>he funds generated from these earlier hunts were likewise paid into the GPTF and "ring-fenced" for rhino conservation work. The GPTF has a good record in supporting rhino conservation work</w:t>
      </w:r>
      <w:r w:rsidR="00CF64A2">
        <w:rPr>
          <w:rFonts w:ascii="Cambria" w:hAnsi="Cambria"/>
        </w:rPr>
        <w:t>,</w:t>
      </w:r>
      <w:r w:rsidRPr="00AF4AE5">
        <w:rPr>
          <w:rFonts w:ascii="Cambria" w:hAnsi="Cambria"/>
        </w:rPr>
        <w:t xml:space="preserve"> including funding </w:t>
      </w:r>
    </w:p>
    <w:p w:rsidR="00CF64A2" w:rsidRDefault="00F518D9" w:rsidP="00CF64A2">
      <w:pPr>
        <w:pStyle w:val="PlainText"/>
        <w:numPr>
          <w:ilvl w:val="0"/>
          <w:numId w:val="3"/>
        </w:numPr>
        <w:rPr>
          <w:rFonts w:ascii="Cambria" w:hAnsi="Cambria"/>
        </w:rPr>
      </w:pPr>
      <w:r w:rsidRPr="00AF4AE5">
        <w:rPr>
          <w:rFonts w:ascii="Cambria" w:hAnsi="Cambria"/>
        </w:rPr>
        <w:t xml:space="preserve">intensive rhino monitoring programmes; </w:t>
      </w:r>
    </w:p>
    <w:p w:rsidR="00223023" w:rsidRDefault="00F518D9" w:rsidP="00CF64A2">
      <w:pPr>
        <w:pStyle w:val="PlainText"/>
        <w:numPr>
          <w:ilvl w:val="0"/>
          <w:numId w:val="3"/>
        </w:numPr>
        <w:rPr>
          <w:rFonts w:ascii="Cambria" w:hAnsi="Cambria"/>
        </w:rPr>
      </w:pPr>
      <w:r w:rsidRPr="00AF4AE5">
        <w:rPr>
          <w:rFonts w:ascii="Cambria" w:hAnsi="Cambria"/>
        </w:rPr>
        <w:t xml:space="preserve">purchase of specialized rhino management equipment (e.g. capture equipment); </w:t>
      </w:r>
    </w:p>
    <w:p w:rsidR="00223023" w:rsidRDefault="00F518D9" w:rsidP="00CF64A2">
      <w:pPr>
        <w:pStyle w:val="PlainText"/>
        <w:numPr>
          <w:ilvl w:val="0"/>
          <w:numId w:val="3"/>
        </w:numPr>
        <w:rPr>
          <w:rFonts w:ascii="Cambria" w:hAnsi="Cambria"/>
        </w:rPr>
      </w:pPr>
      <w:r w:rsidRPr="00AF4AE5">
        <w:rPr>
          <w:rFonts w:ascii="Cambria" w:hAnsi="Cambria"/>
        </w:rPr>
        <w:t xml:space="preserve">operational funds for rhino rescue and relocation work; </w:t>
      </w:r>
    </w:p>
    <w:p w:rsidR="00223023" w:rsidRDefault="00F518D9" w:rsidP="00CF64A2">
      <w:pPr>
        <w:pStyle w:val="PlainText"/>
        <w:numPr>
          <w:ilvl w:val="0"/>
          <w:numId w:val="3"/>
        </w:numPr>
        <w:rPr>
          <w:rFonts w:ascii="Cambria" w:hAnsi="Cambria"/>
        </w:rPr>
      </w:pPr>
      <w:r w:rsidRPr="00AF4AE5">
        <w:rPr>
          <w:rFonts w:ascii="Cambria" w:hAnsi="Cambria"/>
        </w:rPr>
        <w:t xml:space="preserve">purchase and deployment of radio/satellite tracking devices; and </w:t>
      </w:r>
    </w:p>
    <w:p w:rsidR="00223023" w:rsidRDefault="00F518D9" w:rsidP="00CF64A2">
      <w:pPr>
        <w:pStyle w:val="PlainText"/>
        <w:numPr>
          <w:ilvl w:val="0"/>
          <w:numId w:val="3"/>
        </w:numPr>
        <w:rPr>
          <w:rFonts w:ascii="Cambria" w:hAnsi="Cambria"/>
        </w:rPr>
      </w:pPr>
      <w:r w:rsidRPr="00AF4AE5">
        <w:rPr>
          <w:rFonts w:ascii="Cambria" w:hAnsi="Cambria"/>
        </w:rPr>
        <w:t xml:space="preserve">purchase of </w:t>
      </w:r>
      <w:r>
        <w:rPr>
          <w:rFonts w:ascii="Cambria" w:hAnsi="Cambria"/>
        </w:rPr>
        <w:t>drones</w:t>
      </w:r>
      <w:r w:rsidRPr="00AF4AE5">
        <w:rPr>
          <w:rFonts w:ascii="Cambria" w:hAnsi="Cambria"/>
        </w:rPr>
        <w:t xml:space="preserve"> for rhino protection. </w:t>
      </w:r>
    </w:p>
    <w:p w:rsidR="00F518D9" w:rsidRPr="00AF4AE5" w:rsidRDefault="00F518D9" w:rsidP="00223023">
      <w:pPr>
        <w:pStyle w:val="PlainText"/>
        <w:ind w:left="720"/>
        <w:rPr>
          <w:rFonts w:ascii="Cambria" w:hAnsi="Cambria"/>
        </w:rPr>
      </w:pPr>
      <w:r w:rsidRPr="00AF4AE5">
        <w:rPr>
          <w:rFonts w:ascii="Cambria" w:hAnsi="Cambria"/>
        </w:rPr>
        <w:t>The Namibian Government is also piloting a high-tech water-point surveillance system</w:t>
      </w:r>
      <w:r w:rsidR="00E50579">
        <w:rPr>
          <w:rFonts w:ascii="Cambria" w:hAnsi="Cambria"/>
        </w:rPr>
        <w:t xml:space="preserve"> (</w:t>
      </w:r>
      <w:r w:rsidRPr="00AF4AE5">
        <w:rPr>
          <w:rFonts w:ascii="Cambria" w:hAnsi="Cambria"/>
        </w:rPr>
        <w:t>due to the recent elephant poisoning developments in Zimbabwe</w:t>
      </w:r>
      <w:r w:rsidR="00E50579">
        <w:rPr>
          <w:rFonts w:ascii="Cambria" w:hAnsi="Cambria"/>
        </w:rPr>
        <w:t>)</w:t>
      </w:r>
      <w:r w:rsidRPr="00AF4AE5">
        <w:rPr>
          <w:rFonts w:ascii="Cambria" w:hAnsi="Cambria"/>
        </w:rPr>
        <w:t xml:space="preserve"> which is likely to rely on GPTF funding for roll-out. The GPTF is the one fund that the Ministry of Environment and Tourism can rapidly access to respond to rhino threats and management needs, so it is a critically important tool in Namibia's arsenal to protect and manage its rhino.  </w:t>
      </w:r>
    </w:p>
    <w:p w:rsidR="00F518D9" w:rsidRDefault="00F518D9" w:rsidP="00433B94">
      <w:pPr>
        <w:rPr>
          <w:rFonts w:ascii="Cambria" w:hAnsi="Cambria" w:cs="Consolas"/>
          <w:sz w:val="22"/>
          <w:szCs w:val="21"/>
          <w:lang w:eastAsia="en-US"/>
        </w:rPr>
      </w:pPr>
    </w:p>
    <w:p w:rsidR="00F518D9" w:rsidRPr="001116AE" w:rsidRDefault="00164110" w:rsidP="00CF64A2">
      <w:pPr>
        <w:pStyle w:val="ListParagraph"/>
        <w:numPr>
          <w:ilvl w:val="0"/>
          <w:numId w:val="2"/>
        </w:numPr>
        <w:rPr>
          <w:rFonts w:ascii="Cambria" w:hAnsi="Cambria" w:cs="Consolas"/>
          <w:sz w:val="22"/>
          <w:szCs w:val="21"/>
          <w:lang w:eastAsia="en-US"/>
        </w:rPr>
      </w:pPr>
      <w:r w:rsidRPr="001116AE">
        <w:rPr>
          <w:rFonts w:ascii="Cambria" w:hAnsi="Cambria" w:cs="Consolas"/>
          <w:sz w:val="22"/>
          <w:szCs w:val="21"/>
          <w:lang w:eastAsia="en-US"/>
        </w:rPr>
        <w:t>The hunt is consistent with commitments under CITES (the Convention on International Trade in Endangered Species of Wild Fauna and Flora). Namibia and South Africa applied for and received the support of CITES for an annual black rhino maximum hunting quota of 5 black rhino males/year each at CoP 13 in 2004, and the permit at issue here is within this quota. The CITES' Conference of the Parties' decision was based on widespread recognition that, while black rhino remain a Critically Endangered species, hunting a small number of males could be fully consistent with and indeed contribute positively to population growth of rhino, that numbers were increasing due to successful management in both countries, and that trophy hunting could play an important role in conservation efforts as explained above.</w:t>
      </w:r>
    </w:p>
    <w:p w:rsidR="00164110" w:rsidRDefault="00164110" w:rsidP="00164110">
      <w:pPr>
        <w:rPr>
          <w:rFonts w:asciiTheme="minorHAnsi" w:hAnsiTheme="minorHAnsi" w:cs="Consolas"/>
          <w:sz w:val="22"/>
          <w:szCs w:val="21"/>
          <w:lang w:eastAsia="en-US"/>
        </w:rPr>
      </w:pPr>
    </w:p>
    <w:p w:rsidR="00F518D9" w:rsidRPr="00AF4AE5" w:rsidRDefault="00F518D9" w:rsidP="00CF64A2">
      <w:pPr>
        <w:pStyle w:val="PlainText"/>
        <w:numPr>
          <w:ilvl w:val="0"/>
          <w:numId w:val="2"/>
        </w:numPr>
        <w:rPr>
          <w:rFonts w:ascii="Cambria" w:hAnsi="Cambria"/>
        </w:rPr>
      </w:pPr>
      <w:r w:rsidRPr="00AF4AE5">
        <w:rPr>
          <w:rFonts w:ascii="Cambria" w:hAnsi="Cambria"/>
        </w:rPr>
        <w:t>Trophy hunting in Namibia is consistent with IUCN's own policy, which has long recognised that the sustainable use of wildlife can be contribute to biodiversity conservation, because the social and economic benefits derived from use of species can provide incentives for people to conserve them and their habitats</w:t>
      </w:r>
      <w:r w:rsidRPr="00AF4AE5">
        <w:rPr>
          <w:rFonts w:ascii="Cambria" w:hAnsi="Cambria"/>
          <w:vertAlign w:val="superscript"/>
        </w:rPr>
        <w:footnoteReference w:id="8"/>
      </w:r>
      <w:r w:rsidRPr="00AF4AE5">
        <w:rPr>
          <w:rFonts w:ascii="Cambria" w:hAnsi="Cambria"/>
        </w:rPr>
        <w:t>. IUCN has also further recognised the conservation and rural livelihood benefits that can flow from well-managed recreational hunting</w:t>
      </w:r>
      <w:r w:rsidRPr="00AF4AE5">
        <w:rPr>
          <w:rFonts w:ascii="Cambria" w:hAnsi="Cambria"/>
          <w:vertAlign w:val="superscript"/>
        </w:rPr>
        <w:footnoteReference w:id="9"/>
      </w:r>
      <w:r w:rsidRPr="00AF4AE5">
        <w:rPr>
          <w:rFonts w:ascii="Cambria" w:hAnsi="Cambria"/>
        </w:rPr>
        <w:t xml:space="preserve"> and trophy hunting in particular</w:t>
      </w:r>
      <w:r w:rsidRPr="00AF4AE5">
        <w:rPr>
          <w:rFonts w:ascii="Cambria" w:hAnsi="Cambria"/>
          <w:vertAlign w:val="superscript"/>
        </w:rPr>
        <w:footnoteReference w:id="10"/>
      </w:r>
      <w:r w:rsidR="0090401C">
        <w:rPr>
          <w:rFonts w:ascii="Cambria" w:hAnsi="Cambria"/>
        </w:rPr>
        <w:t>, including the part these have played in stimulating population increases for rhino</w:t>
      </w:r>
      <w:r w:rsidR="0090401C">
        <w:rPr>
          <w:rStyle w:val="FootnoteReference"/>
          <w:rFonts w:ascii="Cambria" w:hAnsi="Cambria"/>
        </w:rPr>
        <w:footnoteReference w:id="11"/>
      </w:r>
      <w:r w:rsidR="0090401C">
        <w:rPr>
          <w:rFonts w:ascii="Cambria" w:hAnsi="Cambria"/>
        </w:rPr>
        <w:t xml:space="preserve">. </w:t>
      </w:r>
      <w:r w:rsidRPr="00AF4AE5">
        <w:rPr>
          <w:rFonts w:ascii="Cambria" w:hAnsi="Cambria"/>
        </w:rPr>
        <w:t>We view Namib</w:t>
      </w:r>
      <w:r w:rsidR="0090401C">
        <w:rPr>
          <w:rFonts w:ascii="Cambria" w:hAnsi="Cambria"/>
        </w:rPr>
        <w:t>ia's program as an excellent exa</w:t>
      </w:r>
      <w:r w:rsidRPr="00AF4AE5">
        <w:rPr>
          <w:rFonts w:ascii="Cambria" w:hAnsi="Cambria"/>
        </w:rPr>
        <w:t>mple of these principles in action.</w:t>
      </w:r>
    </w:p>
    <w:p w:rsidR="00F518D9" w:rsidRPr="00AF4AE5" w:rsidRDefault="00F518D9" w:rsidP="004F21CC">
      <w:pPr>
        <w:pStyle w:val="PlainText"/>
        <w:rPr>
          <w:rFonts w:ascii="Cambria" w:hAnsi="Cambria" w:cs="Arial"/>
          <w:szCs w:val="22"/>
        </w:rPr>
      </w:pPr>
    </w:p>
    <w:p w:rsidR="002E4E4B" w:rsidRDefault="00F518D9" w:rsidP="002E4E4B">
      <w:pPr>
        <w:rPr>
          <w:rFonts w:ascii="Cambria" w:hAnsi="Cambria"/>
          <w:sz w:val="22"/>
          <w:szCs w:val="22"/>
        </w:rPr>
      </w:pPr>
      <w:r w:rsidRPr="002E4E4B">
        <w:rPr>
          <w:rFonts w:ascii="Cambria" w:hAnsi="Cambria"/>
          <w:sz w:val="22"/>
          <w:szCs w:val="22"/>
        </w:rPr>
        <w:lastRenderedPageBreak/>
        <w:t>For these reasons,</w:t>
      </w:r>
      <w:r w:rsidR="00593022">
        <w:rPr>
          <w:rFonts w:ascii="Cambria" w:hAnsi="Cambria"/>
          <w:sz w:val="22"/>
          <w:szCs w:val="22"/>
        </w:rPr>
        <w:t xml:space="preserve"> IUCN SULi is supportive of this</w:t>
      </w:r>
      <w:r w:rsidRPr="002E4E4B">
        <w:rPr>
          <w:rFonts w:ascii="Cambria" w:hAnsi="Cambria"/>
          <w:sz w:val="22"/>
          <w:szCs w:val="22"/>
        </w:rPr>
        <w:t xml:space="preserve"> auction</w:t>
      </w:r>
      <w:r w:rsidR="00593022">
        <w:rPr>
          <w:rFonts w:ascii="Cambria" w:hAnsi="Cambria"/>
          <w:sz w:val="22"/>
          <w:szCs w:val="22"/>
        </w:rPr>
        <w:t xml:space="preserve"> by DSC</w:t>
      </w:r>
      <w:r w:rsidR="00A67A68" w:rsidRPr="002E4E4B">
        <w:rPr>
          <w:rFonts w:ascii="Cambria" w:hAnsi="Cambria"/>
          <w:sz w:val="22"/>
          <w:szCs w:val="22"/>
        </w:rPr>
        <w:t>, and sees it as an effective means to raise much-needed money for rhino conservation in a manner</w:t>
      </w:r>
      <w:r w:rsidR="00A67A68">
        <w:rPr>
          <w:rFonts w:ascii="Cambria" w:hAnsi="Cambria"/>
        </w:rPr>
        <w:t xml:space="preserve"> </w:t>
      </w:r>
      <w:r w:rsidR="00A67A68" w:rsidRPr="002E4E4B">
        <w:rPr>
          <w:rFonts w:ascii="Cambria" w:hAnsi="Cambria"/>
          <w:sz w:val="22"/>
          <w:szCs w:val="22"/>
        </w:rPr>
        <w:t xml:space="preserve">fully consistent with Namibia's </w:t>
      </w:r>
      <w:r w:rsidR="00674239">
        <w:rPr>
          <w:rFonts w:ascii="Cambria" w:hAnsi="Cambria"/>
          <w:sz w:val="22"/>
          <w:szCs w:val="22"/>
        </w:rPr>
        <w:t xml:space="preserve">successful </w:t>
      </w:r>
      <w:r w:rsidR="00A67A68" w:rsidRPr="002E4E4B">
        <w:rPr>
          <w:rFonts w:ascii="Cambria" w:hAnsi="Cambria"/>
          <w:sz w:val="22"/>
          <w:szCs w:val="22"/>
        </w:rPr>
        <w:t>rhino conservation programme</w:t>
      </w:r>
      <w:r w:rsidRPr="002E4E4B">
        <w:rPr>
          <w:rFonts w:ascii="Cambria" w:hAnsi="Cambria"/>
          <w:sz w:val="22"/>
          <w:szCs w:val="22"/>
        </w:rPr>
        <w:t xml:space="preserve">. </w:t>
      </w:r>
    </w:p>
    <w:p w:rsidR="002E4E4B" w:rsidRDefault="002E4E4B" w:rsidP="002E4E4B">
      <w:pPr>
        <w:rPr>
          <w:rFonts w:ascii="Cambria" w:hAnsi="Cambria"/>
          <w:sz w:val="22"/>
          <w:szCs w:val="22"/>
        </w:rPr>
      </w:pPr>
    </w:p>
    <w:p w:rsidR="00593022" w:rsidRDefault="00F518D9" w:rsidP="002E4E4B">
      <w:pPr>
        <w:rPr>
          <w:rFonts w:ascii="Cambria" w:hAnsi="Cambria"/>
          <w:sz w:val="22"/>
          <w:szCs w:val="22"/>
        </w:rPr>
      </w:pPr>
      <w:r w:rsidRPr="002E4E4B">
        <w:rPr>
          <w:rFonts w:ascii="Cambria" w:hAnsi="Cambria"/>
          <w:sz w:val="22"/>
          <w:szCs w:val="22"/>
        </w:rPr>
        <w:t xml:space="preserve">We recognise that it is not immediately intuitive that trophy hunting </w:t>
      </w:r>
      <w:r w:rsidR="00A67A68" w:rsidRPr="002E4E4B">
        <w:rPr>
          <w:rFonts w:ascii="Cambria" w:hAnsi="Cambria"/>
          <w:sz w:val="22"/>
          <w:szCs w:val="22"/>
        </w:rPr>
        <w:t xml:space="preserve">– even for endangered species – </w:t>
      </w:r>
      <w:r w:rsidRPr="002E4E4B">
        <w:rPr>
          <w:rFonts w:ascii="Cambria" w:hAnsi="Cambria"/>
          <w:sz w:val="22"/>
          <w:szCs w:val="22"/>
        </w:rPr>
        <w:t>can be a positive conservation tool that can be used to fight poaching and acquire more habitat for wildlife</w:t>
      </w:r>
      <w:r w:rsidR="00A67A68" w:rsidRPr="002E4E4B">
        <w:rPr>
          <w:rFonts w:ascii="Cambria" w:hAnsi="Cambria"/>
          <w:sz w:val="22"/>
          <w:szCs w:val="22"/>
        </w:rPr>
        <w:t>.</w:t>
      </w:r>
      <w:r w:rsidRPr="002E4E4B">
        <w:rPr>
          <w:rFonts w:ascii="Cambria" w:hAnsi="Cambria"/>
          <w:sz w:val="22"/>
          <w:szCs w:val="22"/>
        </w:rPr>
        <w:t xml:space="preserve"> We further understand that the very idea of hunting is abhorrent to many people. However, in a world that requires pragmatic conservation solutions, trophy hunting</w:t>
      </w:r>
      <w:r w:rsidR="00EF69BA" w:rsidRPr="002E4E4B">
        <w:rPr>
          <w:rFonts w:ascii="Cambria" w:hAnsi="Cambria"/>
          <w:sz w:val="22"/>
          <w:szCs w:val="22"/>
        </w:rPr>
        <w:t xml:space="preserve"> – where well-managed –</w:t>
      </w:r>
      <w:r w:rsidRPr="002E4E4B">
        <w:rPr>
          <w:rFonts w:ascii="Cambria" w:hAnsi="Cambria"/>
          <w:sz w:val="22"/>
          <w:szCs w:val="22"/>
        </w:rPr>
        <w:t xml:space="preserve"> </w:t>
      </w:r>
      <w:r w:rsidR="00593022">
        <w:rPr>
          <w:rFonts w:ascii="Cambria" w:hAnsi="Cambria"/>
          <w:sz w:val="22"/>
          <w:szCs w:val="22"/>
        </w:rPr>
        <w:t xml:space="preserve">is </w:t>
      </w:r>
      <w:r w:rsidR="00674239">
        <w:rPr>
          <w:rFonts w:ascii="Cambria" w:hAnsi="Cambria"/>
          <w:sz w:val="22"/>
          <w:szCs w:val="22"/>
        </w:rPr>
        <w:t>frequently</w:t>
      </w:r>
      <w:bookmarkStart w:id="0" w:name="_GoBack"/>
      <w:bookmarkEnd w:id="0"/>
      <w:r w:rsidRPr="002E4E4B">
        <w:rPr>
          <w:rFonts w:ascii="Cambria" w:hAnsi="Cambria"/>
          <w:sz w:val="22"/>
          <w:szCs w:val="22"/>
        </w:rPr>
        <w:t xml:space="preserve"> one of the most effective conservation tools available. </w:t>
      </w:r>
      <w:r w:rsidR="002E4E4B" w:rsidRPr="002E4E4B">
        <w:rPr>
          <w:rFonts w:ascii="Cambria" w:hAnsi="Cambria"/>
          <w:sz w:val="22"/>
          <w:szCs w:val="22"/>
        </w:rPr>
        <w:t>Capitalising</w:t>
      </w:r>
      <w:r w:rsidRPr="002E4E4B">
        <w:rPr>
          <w:rFonts w:ascii="Cambria" w:hAnsi="Cambria"/>
          <w:sz w:val="22"/>
          <w:szCs w:val="22"/>
        </w:rPr>
        <w:t xml:space="preserve"> on the humane demise of a post reproductive animal in order to produce tangible benefits for the conservation of its species is a </w:t>
      </w:r>
      <w:r w:rsidR="00A67A68" w:rsidRPr="002E4E4B">
        <w:rPr>
          <w:rFonts w:ascii="Cambria" w:hAnsi="Cambria"/>
          <w:sz w:val="22"/>
          <w:szCs w:val="22"/>
        </w:rPr>
        <w:t>sound</w:t>
      </w:r>
      <w:r w:rsidRPr="002E4E4B">
        <w:rPr>
          <w:rFonts w:ascii="Cambria" w:hAnsi="Cambria"/>
          <w:sz w:val="22"/>
          <w:szCs w:val="22"/>
        </w:rPr>
        <w:t xml:space="preserve"> strategy worthy of </w:t>
      </w:r>
      <w:r w:rsidR="00C7389B" w:rsidRPr="002E4E4B">
        <w:rPr>
          <w:rFonts w:ascii="Cambria" w:hAnsi="Cambria"/>
          <w:sz w:val="22"/>
          <w:szCs w:val="22"/>
        </w:rPr>
        <w:t xml:space="preserve">strong </w:t>
      </w:r>
      <w:r w:rsidR="002E4E4B" w:rsidRPr="002E4E4B">
        <w:rPr>
          <w:rFonts w:ascii="Cambria" w:hAnsi="Cambria"/>
          <w:sz w:val="22"/>
          <w:szCs w:val="22"/>
        </w:rPr>
        <w:t>support</w:t>
      </w:r>
      <w:r w:rsidR="00593022">
        <w:rPr>
          <w:rFonts w:ascii="Cambria" w:hAnsi="Cambria"/>
          <w:sz w:val="22"/>
          <w:szCs w:val="22"/>
        </w:rPr>
        <w:t xml:space="preserve">. </w:t>
      </w:r>
    </w:p>
    <w:p w:rsidR="00593022" w:rsidRDefault="00593022" w:rsidP="002E4E4B">
      <w:pPr>
        <w:rPr>
          <w:rFonts w:ascii="Cambria" w:hAnsi="Cambria"/>
          <w:sz w:val="22"/>
          <w:szCs w:val="22"/>
        </w:rPr>
      </w:pPr>
    </w:p>
    <w:p w:rsidR="002E4E4B" w:rsidRPr="00593022" w:rsidRDefault="00593022" w:rsidP="002E4E4B">
      <w:pPr>
        <w:rPr>
          <w:rFonts w:ascii="Cambria" w:hAnsi="Cambria"/>
          <w:sz w:val="22"/>
          <w:szCs w:val="22"/>
        </w:rPr>
      </w:pPr>
      <w:r>
        <w:rPr>
          <w:rFonts w:ascii="Cambria" w:hAnsi="Cambria"/>
          <w:sz w:val="22"/>
          <w:szCs w:val="22"/>
        </w:rPr>
        <w:t xml:space="preserve">We hope and trust that DSC's auction </w:t>
      </w:r>
      <w:r w:rsidR="000E01B2">
        <w:rPr>
          <w:rFonts w:ascii="Cambria" w:hAnsi="Cambria"/>
          <w:sz w:val="22"/>
          <w:szCs w:val="22"/>
        </w:rPr>
        <w:t>is</w:t>
      </w:r>
      <w:r>
        <w:rPr>
          <w:rFonts w:ascii="Cambria" w:hAnsi="Cambria"/>
          <w:sz w:val="22"/>
          <w:szCs w:val="22"/>
        </w:rPr>
        <w:t xml:space="preserve"> successful in </w:t>
      </w:r>
      <w:r w:rsidR="000E01B2">
        <w:rPr>
          <w:rFonts w:ascii="Cambria" w:hAnsi="Cambria"/>
          <w:sz w:val="22"/>
          <w:szCs w:val="22"/>
        </w:rPr>
        <w:t xml:space="preserve">its purpose of </w:t>
      </w:r>
      <w:r>
        <w:rPr>
          <w:rFonts w:ascii="Cambria" w:hAnsi="Cambria"/>
          <w:sz w:val="22"/>
          <w:szCs w:val="22"/>
        </w:rPr>
        <w:t xml:space="preserve">raising substantial revenue </w:t>
      </w:r>
      <w:r w:rsidR="000E01B2">
        <w:rPr>
          <w:rFonts w:ascii="Cambria" w:hAnsi="Cambria"/>
          <w:sz w:val="22"/>
          <w:szCs w:val="22"/>
        </w:rPr>
        <w:t>to help protect and conserve rhinos in the field.</w:t>
      </w:r>
    </w:p>
    <w:p w:rsidR="00F518D9" w:rsidRPr="00AF4AE5" w:rsidRDefault="00F518D9" w:rsidP="00A633B6">
      <w:pPr>
        <w:pStyle w:val="PlainText"/>
        <w:rPr>
          <w:rFonts w:ascii="Cambria" w:hAnsi="Cambria"/>
        </w:rPr>
      </w:pPr>
    </w:p>
    <w:p w:rsidR="00F518D9" w:rsidRDefault="00C7389B">
      <w:pPr>
        <w:rPr>
          <w:rFonts w:ascii="Cambria" w:hAnsi="Cambria" w:cs="Arial"/>
          <w:sz w:val="22"/>
          <w:szCs w:val="22"/>
        </w:rPr>
      </w:pPr>
      <w:r>
        <w:rPr>
          <w:rFonts w:ascii="Cambria" w:hAnsi="Cambria" w:cs="Arial"/>
          <w:sz w:val="22"/>
          <w:szCs w:val="22"/>
        </w:rPr>
        <w:t xml:space="preserve">Yours sincerely, </w:t>
      </w:r>
    </w:p>
    <w:p w:rsidR="00C7389B" w:rsidRDefault="00C7389B">
      <w:pPr>
        <w:rPr>
          <w:rFonts w:ascii="Cambria" w:hAnsi="Cambria" w:cs="Arial"/>
          <w:sz w:val="22"/>
          <w:szCs w:val="22"/>
        </w:rPr>
      </w:pPr>
    </w:p>
    <w:p w:rsidR="00C7389B" w:rsidRDefault="00C7389B">
      <w:pPr>
        <w:rPr>
          <w:rFonts w:ascii="Cambria" w:hAnsi="Cambria" w:cs="Arial"/>
          <w:sz w:val="22"/>
          <w:szCs w:val="22"/>
        </w:rPr>
      </w:pPr>
      <w:r>
        <w:rPr>
          <w:rFonts w:ascii="Cambria" w:hAnsi="Cambria" w:cs="Arial"/>
          <w:noProof/>
          <w:sz w:val="22"/>
          <w:szCs w:val="22"/>
          <w:lang w:val="en-US" w:eastAsia="en-US"/>
        </w:rPr>
        <w:drawing>
          <wp:inline distT="0" distB="0" distL="0" distR="0">
            <wp:extent cx="1252220" cy="4940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ie Cooney signature.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52561" cy="494208"/>
                    </a:xfrm>
                    <a:prstGeom prst="rect">
                      <a:avLst/>
                    </a:prstGeom>
                  </pic:spPr>
                </pic:pic>
              </a:graphicData>
            </a:graphic>
          </wp:inline>
        </w:drawing>
      </w:r>
    </w:p>
    <w:p w:rsidR="00C7389B" w:rsidRPr="00410B1D" w:rsidRDefault="00C7389B">
      <w:pPr>
        <w:rPr>
          <w:rFonts w:ascii="Cambria" w:hAnsi="Cambria" w:cs="Arial"/>
          <w:sz w:val="22"/>
          <w:szCs w:val="22"/>
        </w:rPr>
      </w:pPr>
      <w:r>
        <w:rPr>
          <w:rFonts w:ascii="Cambria" w:hAnsi="Cambria" w:cs="Arial"/>
          <w:sz w:val="22"/>
          <w:szCs w:val="22"/>
        </w:rPr>
        <w:t>Dr Rosie Cooney</w:t>
      </w:r>
    </w:p>
    <w:sectPr w:rsidR="00C7389B" w:rsidRPr="00410B1D" w:rsidSect="00AE0137">
      <w:headerReference w:type="default" r:id="rId8"/>
      <w:pgSz w:w="11900" w:h="16840"/>
      <w:pgMar w:top="269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7E9" w:rsidRDefault="00A307E9" w:rsidP="00BF29DC">
      <w:r>
        <w:separator/>
      </w:r>
    </w:p>
  </w:endnote>
  <w:endnote w:type="continuationSeparator" w:id="0">
    <w:p w:rsidR="00A307E9" w:rsidRDefault="00A307E9" w:rsidP="00BF2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00"/>
    <w:family w:val="roman"/>
    <w:notTrueType/>
    <w:pitch w:val="default"/>
    <w:sig w:usb0="00000000" w:usb1="00000000" w:usb2="00000000" w:usb3="00000000" w:csb0="00000000" w:csb1="00000000"/>
  </w:font>
  <w:font w:name="Lucida Grande">
    <w:altName w:val="Courier New"/>
    <w:charset w:val="00"/>
    <w:family w:val="auto"/>
    <w:pitch w:val="variable"/>
    <w:sig w:usb0="03000000"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7E9" w:rsidRDefault="00A307E9" w:rsidP="00BF29DC">
      <w:r>
        <w:separator/>
      </w:r>
    </w:p>
  </w:footnote>
  <w:footnote w:type="continuationSeparator" w:id="0">
    <w:p w:rsidR="00A307E9" w:rsidRDefault="00A307E9" w:rsidP="00BF29DC">
      <w:r>
        <w:continuationSeparator/>
      </w:r>
    </w:p>
  </w:footnote>
  <w:footnote w:id="1">
    <w:p w:rsidR="00593022" w:rsidRDefault="00593022">
      <w:pPr>
        <w:pStyle w:val="FootnoteText"/>
      </w:pPr>
      <w:r w:rsidRPr="00A37682">
        <w:rPr>
          <w:rStyle w:val="FootnoteReference"/>
          <w:sz w:val="18"/>
          <w:szCs w:val="18"/>
        </w:rPr>
        <w:footnoteRef/>
      </w:r>
      <w:r w:rsidRPr="00A37682">
        <w:rPr>
          <w:rStyle w:val="FootnoteReference"/>
          <w:sz w:val="18"/>
          <w:szCs w:val="18"/>
          <w:vertAlign w:val="baseline"/>
        </w:rPr>
        <w:t xml:space="preserve"> </w:t>
      </w:r>
      <w:r>
        <w:rPr>
          <w:sz w:val="18"/>
          <w:szCs w:val="18"/>
        </w:rPr>
        <w:t xml:space="preserve">IUCN (2013) </w:t>
      </w:r>
      <w:r w:rsidRPr="00A37682">
        <w:rPr>
          <w:rStyle w:val="FootnoteReference"/>
          <w:sz w:val="18"/>
          <w:szCs w:val="18"/>
          <w:vertAlign w:val="baseline"/>
        </w:rPr>
        <w:t xml:space="preserve">CITES </w:t>
      </w:r>
      <w:proofErr w:type="spellStart"/>
      <w:r w:rsidRPr="00A37682">
        <w:rPr>
          <w:rStyle w:val="FootnoteReference"/>
          <w:sz w:val="18"/>
          <w:szCs w:val="18"/>
          <w:vertAlign w:val="baseline"/>
        </w:rPr>
        <w:t>CoP</w:t>
      </w:r>
      <w:proofErr w:type="spellEnd"/>
      <w:r w:rsidRPr="00A37682">
        <w:rPr>
          <w:rStyle w:val="FootnoteReference"/>
          <w:sz w:val="18"/>
          <w:szCs w:val="18"/>
          <w:vertAlign w:val="baseline"/>
        </w:rPr>
        <w:t xml:space="preserve"> 16 Inf. 51. Online at http://www.cites.org/eng/cop/16/inf/E-CoP16i-51.pdf</w:t>
      </w:r>
    </w:p>
  </w:footnote>
  <w:footnote w:id="2">
    <w:p w:rsidR="00593022" w:rsidRDefault="00593022">
      <w:pPr>
        <w:pStyle w:val="FootnoteText"/>
      </w:pPr>
      <w:r w:rsidRPr="00A37682">
        <w:rPr>
          <w:rStyle w:val="FootnoteReference"/>
          <w:sz w:val="18"/>
          <w:szCs w:val="18"/>
        </w:rPr>
        <w:footnoteRef/>
      </w:r>
      <w:r w:rsidRPr="00A37682">
        <w:rPr>
          <w:sz w:val="18"/>
          <w:szCs w:val="18"/>
        </w:rPr>
        <w:t xml:space="preserve"> Ibid.</w:t>
      </w:r>
    </w:p>
  </w:footnote>
  <w:footnote w:id="3">
    <w:p w:rsidR="00593022" w:rsidRDefault="00593022" w:rsidP="004330DD">
      <w:pPr>
        <w:widowControl w:val="0"/>
        <w:autoSpaceDE w:val="0"/>
        <w:autoSpaceDN w:val="0"/>
        <w:adjustRightInd w:val="0"/>
        <w:ind w:right="-720"/>
      </w:pPr>
      <w:r w:rsidRPr="00866CDA">
        <w:rPr>
          <w:rStyle w:val="FootnoteReference"/>
          <w:sz w:val="18"/>
          <w:szCs w:val="18"/>
        </w:rPr>
        <w:footnoteRef/>
      </w:r>
      <w:r w:rsidRPr="00866CDA">
        <w:rPr>
          <w:sz w:val="18"/>
          <w:szCs w:val="18"/>
        </w:rPr>
        <w:t xml:space="preserve"> </w:t>
      </w:r>
      <w:r w:rsidRPr="00866CDA">
        <w:rPr>
          <w:rFonts w:ascii="Cambria" w:hAnsi="Cambria"/>
          <w:sz w:val="18"/>
          <w:szCs w:val="18"/>
        </w:rPr>
        <w:t xml:space="preserve">See e.g. </w:t>
      </w:r>
      <w:r>
        <w:rPr>
          <w:rFonts w:ascii="Cambria" w:hAnsi="Cambria" w:cs="Helvetica"/>
          <w:sz w:val="18"/>
          <w:szCs w:val="18"/>
          <w:lang w:val="en-US" w:eastAsia="en-US"/>
        </w:rPr>
        <w:t xml:space="preserve">Weaver LC, </w:t>
      </w:r>
      <w:proofErr w:type="spellStart"/>
      <w:r>
        <w:rPr>
          <w:rFonts w:ascii="Cambria" w:hAnsi="Cambria" w:cs="Helvetica"/>
          <w:sz w:val="18"/>
          <w:szCs w:val="18"/>
          <w:lang w:val="en-US" w:eastAsia="en-US"/>
        </w:rPr>
        <w:t>Hamunyela</w:t>
      </w:r>
      <w:proofErr w:type="spellEnd"/>
      <w:r w:rsidRPr="00866CDA">
        <w:rPr>
          <w:rFonts w:ascii="Cambria" w:hAnsi="Cambria" w:cs="Helvetica"/>
          <w:sz w:val="18"/>
          <w:szCs w:val="18"/>
          <w:lang w:val="en-US" w:eastAsia="en-US"/>
        </w:rPr>
        <w:t xml:space="preserve"> </w:t>
      </w:r>
      <w:r>
        <w:rPr>
          <w:rFonts w:ascii="Cambria" w:hAnsi="Cambria" w:cs="Helvetica"/>
          <w:sz w:val="18"/>
          <w:szCs w:val="18"/>
          <w:lang w:val="en-US" w:eastAsia="en-US"/>
        </w:rPr>
        <w:t xml:space="preserve">E, </w:t>
      </w:r>
      <w:proofErr w:type="spellStart"/>
      <w:r w:rsidRPr="00866CDA">
        <w:rPr>
          <w:rFonts w:ascii="Cambria" w:hAnsi="Cambria" w:cs="Helvetica"/>
          <w:sz w:val="18"/>
          <w:szCs w:val="18"/>
          <w:lang w:val="en-US" w:eastAsia="en-US"/>
        </w:rPr>
        <w:t>Diggle</w:t>
      </w:r>
      <w:proofErr w:type="spellEnd"/>
      <w:r>
        <w:rPr>
          <w:rFonts w:ascii="Cambria" w:hAnsi="Cambria" w:cs="Helvetica"/>
          <w:sz w:val="18"/>
          <w:szCs w:val="18"/>
          <w:lang w:val="en-US" w:eastAsia="en-US"/>
        </w:rPr>
        <w:t xml:space="preserve"> R, </w:t>
      </w:r>
      <w:proofErr w:type="spellStart"/>
      <w:r w:rsidRPr="00866CDA">
        <w:rPr>
          <w:rFonts w:ascii="Cambria" w:hAnsi="Cambria" w:cs="Helvetica"/>
          <w:sz w:val="18"/>
          <w:szCs w:val="18"/>
          <w:lang w:val="en-US" w:eastAsia="en-US"/>
        </w:rPr>
        <w:t>Matongo</w:t>
      </w:r>
      <w:proofErr w:type="spellEnd"/>
      <w:r w:rsidRPr="00866CDA">
        <w:rPr>
          <w:rFonts w:ascii="Cambria" w:hAnsi="Cambria" w:cs="Helvetica"/>
          <w:sz w:val="18"/>
          <w:szCs w:val="18"/>
          <w:lang w:val="en-US" w:eastAsia="en-US"/>
        </w:rPr>
        <w:t xml:space="preserve"> </w:t>
      </w:r>
      <w:r>
        <w:rPr>
          <w:rFonts w:ascii="Cambria" w:hAnsi="Cambria" w:cs="Helvetica"/>
          <w:sz w:val="18"/>
          <w:szCs w:val="18"/>
          <w:lang w:val="en-US" w:eastAsia="en-US"/>
        </w:rPr>
        <w:t xml:space="preserve">G and </w:t>
      </w:r>
      <w:proofErr w:type="spellStart"/>
      <w:r w:rsidRPr="00866CDA">
        <w:rPr>
          <w:rFonts w:ascii="Cambria" w:hAnsi="Cambria" w:cs="Helvetica"/>
          <w:sz w:val="18"/>
          <w:szCs w:val="18"/>
          <w:lang w:val="en-US" w:eastAsia="en-US"/>
        </w:rPr>
        <w:t>Pietersen</w:t>
      </w:r>
      <w:proofErr w:type="spellEnd"/>
      <w:r w:rsidRPr="00866CDA">
        <w:rPr>
          <w:rFonts w:ascii="Cambria" w:hAnsi="Cambria" w:cs="Helvetica"/>
          <w:sz w:val="18"/>
          <w:szCs w:val="18"/>
          <w:lang w:val="en-US" w:eastAsia="en-US"/>
        </w:rPr>
        <w:t xml:space="preserve"> </w:t>
      </w:r>
      <w:r>
        <w:rPr>
          <w:rFonts w:ascii="Cambria" w:hAnsi="Cambria" w:cs="Helvetica"/>
          <w:sz w:val="18"/>
          <w:szCs w:val="18"/>
          <w:lang w:val="en-US" w:eastAsia="en-US"/>
        </w:rPr>
        <w:t xml:space="preserve">T </w:t>
      </w:r>
      <w:r w:rsidRPr="00866CDA">
        <w:rPr>
          <w:rFonts w:ascii="Cambria" w:hAnsi="Cambria" w:cs="Helvetica"/>
          <w:sz w:val="18"/>
          <w:szCs w:val="18"/>
          <w:lang w:val="en-US" w:eastAsia="en-US"/>
        </w:rPr>
        <w:t xml:space="preserve">(2011). </w:t>
      </w:r>
      <w:proofErr w:type="gramStart"/>
      <w:r w:rsidRPr="00866CDA">
        <w:rPr>
          <w:rFonts w:ascii="Cambria" w:hAnsi="Cambria" w:cs="Helvetica"/>
          <w:sz w:val="18"/>
          <w:szCs w:val="18"/>
          <w:lang w:val="en-US" w:eastAsia="en-US"/>
        </w:rPr>
        <w:t xml:space="preserve">The catalytic role and contributions of sustainable wildlife use to the Namibia CBNRM </w:t>
      </w:r>
      <w:proofErr w:type="spellStart"/>
      <w:r w:rsidRPr="00866CDA">
        <w:rPr>
          <w:rFonts w:ascii="Cambria" w:hAnsi="Cambria" w:cs="Helvetica"/>
          <w:sz w:val="18"/>
          <w:szCs w:val="18"/>
          <w:lang w:val="en-US" w:eastAsia="en-US"/>
        </w:rPr>
        <w:t>Programme</w:t>
      </w:r>
      <w:proofErr w:type="spellEnd"/>
      <w:r w:rsidRPr="00866CDA">
        <w:rPr>
          <w:rFonts w:ascii="Cambria" w:hAnsi="Cambria" w:cs="Helvetica"/>
          <w:sz w:val="18"/>
          <w:szCs w:val="18"/>
          <w:lang w:val="en-US" w:eastAsia="en-US"/>
        </w:rPr>
        <w:t>.</w:t>
      </w:r>
      <w:proofErr w:type="gramEnd"/>
      <w:r w:rsidRPr="00866CDA">
        <w:rPr>
          <w:rFonts w:ascii="Cambria" w:hAnsi="Cambria" w:cs="Helvetica"/>
          <w:sz w:val="18"/>
          <w:szCs w:val="18"/>
          <w:lang w:val="en-US" w:eastAsia="en-US"/>
        </w:rPr>
        <w:t xml:space="preserve"> </w:t>
      </w:r>
      <w:r>
        <w:rPr>
          <w:rFonts w:ascii="Cambria" w:hAnsi="Cambria" w:cs="Helvetica"/>
          <w:sz w:val="18"/>
          <w:szCs w:val="18"/>
          <w:lang w:val="en-US" w:eastAsia="en-US"/>
        </w:rPr>
        <w:t xml:space="preserve">In </w:t>
      </w:r>
      <w:r w:rsidRPr="00866CDA">
        <w:rPr>
          <w:rFonts w:ascii="Cambria" w:hAnsi="Cambria" w:cs="Helvetica"/>
          <w:i/>
          <w:iCs/>
          <w:sz w:val="18"/>
          <w:szCs w:val="18"/>
          <w:lang w:val="en-US" w:eastAsia="en-US"/>
        </w:rPr>
        <w:t>CITES and CBNRM: Proceedings of an international symposium on "The relevance of CBNRM to the conservation and sustainable use of CITES-listed species in exporting countries"</w:t>
      </w:r>
      <w:r w:rsidRPr="00866CDA">
        <w:rPr>
          <w:rFonts w:ascii="Cambria" w:hAnsi="Cambria" w:cs="Helvetica"/>
          <w:sz w:val="18"/>
          <w:szCs w:val="18"/>
          <w:lang w:val="en-US" w:eastAsia="en-US"/>
        </w:rPr>
        <w:t xml:space="preserve">. M. </w:t>
      </w:r>
      <w:proofErr w:type="spellStart"/>
      <w:r w:rsidRPr="00866CDA">
        <w:rPr>
          <w:rFonts w:ascii="Cambria" w:hAnsi="Cambria" w:cs="Helvetica"/>
          <w:sz w:val="18"/>
          <w:szCs w:val="18"/>
          <w:lang w:val="en-US" w:eastAsia="en-US"/>
        </w:rPr>
        <w:t>Abensperg-Traun</w:t>
      </w:r>
      <w:proofErr w:type="spellEnd"/>
      <w:r w:rsidRPr="00866CDA">
        <w:rPr>
          <w:rFonts w:ascii="Cambria" w:hAnsi="Cambria" w:cs="Helvetica"/>
          <w:sz w:val="18"/>
          <w:szCs w:val="18"/>
          <w:lang w:val="en-US" w:eastAsia="en-US"/>
        </w:rPr>
        <w:t xml:space="preserve">, D. Roe and C. </w:t>
      </w:r>
      <w:proofErr w:type="spellStart"/>
      <w:r w:rsidRPr="00866CDA">
        <w:rPr>
          <w:rFonts w:ascii="Cambria" w:hAnsi="Cambria" w:cs="Helvetica"/>
          <w:sz w:val="18"/>
          <w:szCs w:val="18"/>
          <w:lang w:val="en-US" w:eastAsia="en-US"/>
        </w:rPr>
        <w:t>O'Criodain</w:t>
      </w:r>
      <w:proofErr w:type="spellEnd"/>
      <w:r>
        <w:rPr>
          <w:rFonts w:ascii="Cambria" w:hAnsi="Cambria" w:cs="Helvetica"/>
          <w:sz w:val="18"/>
          <w:szCs w:val="18"/>
          <w:lang w:val="en-US" w:eastAsia="en-US"/>
        </w:rPr>
        <w:t xml:space="preserve"> (</w:t>
      </w:r>
      <w:proofErr w:type="spellStart"/>
      <w:r w:rsidRPr="00407049">
        <w:rPr>
          <w:rFonts w:ascii="Cambria" w:hAnsi="Cambria" w:cs="Helvetica"/>
          <w:i/>
          <w:sz w:val="18"/>
          <w:szCs w:val="18"/>
          <w:lang w:val="en-US" w:eastAsia="en-US"/>
        </w:rPr>
        <w:t>Eds</w:t>
      </w:r>
      <w:proofErr w:type="spellEnd"/>
      <w:r>
        <w:rPr>
          <w:rFonts w:ascii="Cambria" w:hAnsi="Cambria" w:cs="Helvetica"/>
          <w:sz w:val="18"/>
          <w:szCs w:val="18"/>
          <w:lang w:val="en-US" w:eastAsia="en-US"/>
        </w:rPr>
        <w:t>)</w:t>
      </w:r>
      <w:r w:rsidRPr="00866CDA">
        <w:rPr>
          <w:rFonts w:ascii="Cambria" w:hAnsi="Cambria" w:cs="Helvetica"/>
          <w:sz w:val="18"/>
          <w:szCs w:val="18"/>
          <w:lang w:val="en-US" w:eastAsia="en-US"/>
        </w:rPr>
        <w:t>. Gland, Switzerland and London, UK, IUCN and IIED</w:t>
      </w:r>
      <w:r w:rsidRPr="00866CDA">
        <w:rPr>
          <w:rFonts w:ascii="Cambria" w:hAnsi="Cambria" w:cs="Helvetica"/>
          <w:b/>
          <w:bCs/>
          <w:sz w:val="18"/>
          <w:szCs w:val="18"/>
          <w:lang w:val="en-US" w:eastAsia="en-US"/>
        </w:rPr>
        <w:t xml:space="preserve">: </w:t>
      </w:r>
      <w:r w:rsidRPr="00866CDA">
        <w:rPr>
          <w:rFonts w:ascii="Cambria" w:hAnsi="Cambria" w:cs="Helvetica"/>
          <w:sz w:val="18"/>
          <w:szCs w:val="18"/>
          <w:lang w:val="en-US" w:eastAsia="en-US"/>
        </w:rPr>
        <w:t>59-70. Online at http://pubs.iied.org/14616IIED.html</w:t>
      </w:r>
    </w:p>
  </w:footnote>
  <w:footnote w:id="4">
    <w:p w:rsidR="00593022" w:rsidRDefault="00593022" w:rsidP="00AF4AE5">
      <w:pPr>
        <w:widowControl w:val="0"/>
        <w:autoSpaceDE w:val="0"/>
        <w:autoSpaceDN w:val="0"/>
        <w:adjustRightInd w:val="0"/>
        <w:ind w:right="-720"/>
      </w:pPr>
      <w:r w:rsidRPr="004330DD">
        <w:rPr>
          <w:rStyle w:val="FootnoteReference"/>
          <w:rFonts w:ascii="Cambria" w:hAnsi="Cambria"/>
          <w:sz w:val="18"/>
          <w:szCs w:val="18"/>
        </w:rPr>
        <w:footnoteRef/>
      </w:r>
      <w:r w:rsidRPr="004330DD">
        <w:rPr>
          <w:rStyle w:val="FootnoteReference"/>
          <w:rFonts w:ascii="Cambria" w:hAnsi="Cambria"/>
          <w:sz w:val="18"/>
          <w:szCs w:val="18"/>
        </w:rPr>
        <w:t xml:space="preserve"> </w:t>
      </w:r>
      <w:r w:rsidRPr="004330DD">
        <w:rPr>
          <w:rStyle w:val="FootnoteReference"/>
          <w:rFonts w:ascii="Cambria" w:hAnsi="Cambria"/>
          <w:sz w:val="18"/>
          <w:szCs w:val="18"/>
          <w:vertAlign w:val="baseline"/>
        </w:rPr>
        <w:t xml:space="preserve">NACSO. 2013. The state of community conservation in Namibia - a review of communal conservancies, community forests and other CBNRM initiatives (2012 Annual Report). NACSO, Windhoek. Online at </w:t>
      </w:r>
      <w:hyperlink r:id="rId1" w:tgtFrame="_blank" w:history="1">
        <w:r w:rsidRPr="004330DD">
          <w:rPr>
            <w:rStyle w:val="FootnoteReference"/>
            <w:rFonts w:ascii="Cambria" w:hAnsi="Cambria"/>
            <w:sz w:val="18"/>
            <w:szCs w:val="18"/>
            <w:vertAlign w:val="baseline"/>
          </w:rPr>
          <w:t>http://www.nacso.org.na</w:t>
        </w:r>
      </w:hyperlink>
    </w:p>
  </w:footnote>
  <w:footnote w:id="5">
    <w:p w:rsidR="00593022" w:rsidRDefault="00593022" w:rsidP="001841B2">
      <w:pPr>
        <w:contextualSpacing/>
      </w:pPr>
      <w:r w:rsidRPr="001841B2">
        <w:rPr>
          <w:rStyle w:val="FootnoteReference"/>
          <w:rFonts w:ascii="Cambria" w:hAnsi="Cambria"/>
          <w:sz w:val="18"/>
          <w:szCs w:val="18"/>
        </w:rPr>
        <w:footnoteRef/>
      </w:r>
      <w:r w:rsidRPr="001841B2">
        <w:rPr>
          <w:rFonts w:ascii="Cambria" w:hAnsi="Cambria"/>
          <w:sz w:val="18"/>
          <w:szCs w:val="18"/>
        </w:rPr>
        <w:t xml:space="preserve"> See examples in IUCN SSC</w:t>
      </w:r>
      <w:r>
        <w:t xml:space="preserve"> </w:t>
      </w:r>
      <w:r w:rsidRPr="0090401C">
        <w:rPr>
          <w:rFonts w:ascii="Cambria" w:hAnsi="Cambria"/>
          <w:sz w:val="18"/>
          <w:szCs w:val="18"/>
        </w:rPr>
        <w:t>(2012)</w:t>
      </w:r>
      <w:r>
        <w:t xml:space="preserve"> </w:t>
      </w:r>
      <w:r w:rsidRPr="00AE0137">
        <w:rPr>
          <w:rStyle w:val="FootnoteReference"/>
          <w:rFonts w:ascii="Cambria" w:hAnsi="Cambria"/>
          <w:i/>
          <w:sz w:val="18"/>
          <w:szCs w:val="18"/>
          <w:vertAlign w:val="baseline"/>
        </w:rPr>
        <w:t>Guiding Principles on Trophy Hunting as a Tool for Creating Conservation Incentives</w:t>
      </w:r>
      <w:r>
        <w:rPr>
          <w:rStyle w:val="FootnoteReference"/>
          <w:rFonts w:ascii="Cambria" w:hAnsi="Cambria"/>
          <w:sz w:val="18"/>
          <w:szCs w:val="18"/>
          <w:vertAlign w:val="baseline"/>
        </w:rPr>
        <w:t xml:space="preserve"> v1, Annex 1.</w:t>
      </w:r>
      <w:r w:rsidRPr="00A37682">
        <w:rPr>
          <w:rStyle w:val="FootnoteReference"/>
          <w:rFonts w:ascii="Cambria" w:hAnsi="Cambria"/>
          <w:sz w:val="18"/>
          <w:szCs w:val="18"/>
          <w:vertAlign w:val="baseline"/>
        </w:rPr>
        <w:t xml:space="preserve"> Online at</w:t>
      </w:r>
      <w:r>
        <w:rPr>
          <w:rFonts w:ascii="Cambria" w:hAnsi="Cambria"/>
          <w:sz w:val="18"/>
          <w:szCs w:val="18"/>
          <w:lang w:val="en-US" w:eastAsia="en-US"/>
        </w:rPr>
        <w:t xml:space="preserve"> </w:t>
      </w:r>
      <w:r w:rsidRPr="004F21CC">
        <w:rPr>
          <w:rFonts w:ascii="Cambria" w:hAnsi="Cambria"/>
          <w:sz w:val="18"/>
          <w:szCs w:val="18"/>
          <w:lang w:val="en-US" w:eastAsia="en-US"/>
        </w:rPr>
        <w:t>http://cmsdata.iucn.org/downloads/iucn_ssc_guiding_principles_on_trophy_hunting_ver1_09aug2012.pdf</w:t>
      </w:r>
    </w:p>
  </w:footnote>
  <w:footnote w:id="6">
    <w:p w:rsidR="00593022" w:rsidRDefault="00593022" w:rsidP="00917839">
      <w:r w:rsidRPr="00350A54">
        <w:rPr>
          <w:rStyle w:val="FootnoteReference"/>
          <w:rFonts w:ascii="Cambria" w:hAnsi="Cambria"/>
          <w:sz w:val="18"/>
          <w:szCs w:val="18"/>
        </w:rPr>
        <w:footnoteRef/>
      </w:r>
      <w:r w:rsidRPr="00350A54">
        <w:rPr>
          <w:rFonts w:ascii="Cambria" w:hAnsi="Cambria"/>
          <w:sz w:val="18"/>
          <w:szCs w:val="18"/>
        </w:rPr>
        <w:t xml:space="preserve"> This figure is calculated very conservatively as follows: </w:t>
      </w:r>
      <w:r w:rsidRPr="00350A54">
        <w:rPr>
          <w:rFonts w:ascii="Cambria" w:hAnsi="Cambria"/>
          <w:sz w:val="18"/>
          <w:szCs w:val="18"/>
          <w:shd w:val="clear" w:color="auto" w:fill="FFFFFF"/>
          <w:lang w:val="en-AU" w:eastAsia="en-US"/>
        </w:rPr>
        <w:t xml:space="preserve">Namibian communal conservancies have 573 full time and 96 part time conservancy employees, plus 862 conservancy representatives who receive allowances </w:t>
      </w:r>
      <w:r w:rsidRPr="00350A54">
        <w:rPr>
          <w:rFonts w:ascii="Cambria" w:hAnsi="Cambria" w:cs="Arial"/>
          <w:sz w:val="18"/>
          <w:szCs w:val="18"/>
          <w:shd w:val="clear" w:color="auto" w:fill="FFFFFF"/>
          <w:lang w:val="en-AU" w:eastAsia="en-US"/>
        </w:rPr>
        <w:t>(NACSO 2013, see n4). </w:t>
      </w:r>
      <w:r w:rsidRPr="00350A54">
        <w:rPr>
          <w:rFonts w:ascii="Cambria" w:hAnsi="Cambria"/>
          <w:sz w:val="18"/>
          <w:szCs w:val="18"/>
          <w:shd w:val="clear" w:color="auto" w:fill="FFFFFF"/>
          <w:lang w:val="en-AU" w:eastAsia="en-US"/>
        </w:rPr>
        <w:t xml:space="preserve">While all of these people contribute to promoting conservation, of the full time Conservancy employees at least 460 are community game guards. There are </w:t>
      </w:r>
      <w:r>
        <w:rPr>
          <w:rFonts w:ascii="Cambria" w:hAnsi="Cambria"/>
          <w:sz w:val="18"/>
          <w:szCs w:val="18"/>
          <w:shd w:val="clear" w:color="auto" w:fill="FFFFFF"/>
          <w:lang w:val="en-AU" w:eastAsia="en-US"/>
        </w:rPr>
        <w:t>over 1500</w:t>
      </w:r>
      <w:r w:rsidRPr="00350A54">
        <w:rPr>
          <w:rFonts w:ascii="Cambria" w:hAnsi="Cambria"/>
          <w:sz w:val="18"/>
          <w:szCs w:val="18"/>
          <w:shd w:val="clear" w:color="auto" w:fill="FFFFFF"/>
          <w:lang w:val="en-AU" w:eastAsia="en-US"/>
        </w:rPr>
        <w:t xml:space="preserve"> registered hunting farms in Namibia (freehold land), and it can be conservatively assumed</w:t>
      </w:r>
      <w:r w:rsidRPr="00350A54">
        <w:rPr>
          <w:rFonts w:ascii="Cambria" w:hAnsi="Cambria" w:cs="Arial"/>
          <w:sz w:val="18"/>
          <w:szCs w:val="18"/>
          <w:shd w:val="clear" w:color="auto" w:fill="FFFFFF"/>
          <w:lang w:val="en-AU" w:eastAsia="en-US"/>
        </w:rPr>
        <w:t xml:space="preserve"> </w:t>
      </w:r>
      <w:r w:rsidRPr="00350A54">
        <w:rPr>
          <w:rFonts w:ascii="Cambria" w:hAnsi="Cambria"/>
          <w:sz w:val="18"/>
          <w:szCs w:val="18"/>
          <w:shd w:val="clear" w:color="auto" w:fill="FFFFFF"/>
          <w:lang w:val="en-AU" w:eastAsia="en-US"/>
        </w:rPr>
        <w:t>that each farm employs 2 game guards</w:t>
      </w:r>
      <w:r>
        <w:rPr>
          <w:rFonts w:ascii="Cambria" w:hAnsi="Cambria" w:cs="Arial"/>
          <w:sz w:val="18"/>
          <w:szCs w:val="18"/>
          <w:shd w:val="clear" w:color="auto" w:fill="FFFFFF"/>
          <w:lang w:val="en-AU" w:eastAsia="en-US"/>
        </w:rPr>
        <w:t>.</w:t>
      </w:r>
      <w:r w:rsidRPr="00350A54">
        <w:rPr>
          <w:rFonts w:ascii="Cambria" w:hAnsi="Cambria"/>
          <w:sz w:val="18"/>
          <w:szCs w:val="18"/>
          <w:shd w:val="clear" w:color="auto" w:fill="FFFFFF"/>
          <w:lang w:val="en-AU" w:eastAsia="en-US"/>
        </w:rPr>
        <w:t> </w:t>
      </w:r>
      <w:r>
        <w:rPr>
          <w:rFonts w:ascii="Cambria" w:hAnsi="Cambria"/>
          <w:sz w:val="18"/>
          <w:szCs w:val="18"/>
          <w:shd w:val="clear" w:color="auto" w:fill="FFFFFF"/>
          <w:lang w:val="en-AU" w:eastAsia="en-US"/>
        </w:rPr>
        <w:t>This supports a total of at least 3460.</w:t>
      </w:r>
    </w:p>
  </w:footnote>
  <w:footnote w:id="7">
    <w:p w:rsidR="00593022" w:rsidRDefault="00593022">
      <w:pPr>
        <w:pStyle w:val="FootnoteText"/>
      </w:pPr>
      <w:r w:rsidRPr="001116AE">
        <w:rPr>
          <w:sz w:val="18"/>
          <w:szCs w:val="18"/>
          <w:shd w:val="clear" w:color="auto" w:fill="FFFFFF"/>
          <w:vertAlign w:val="superscript"/>
          <w:lang w:val="en-AU"/>
        </w:rPr>
        <w:footnoteRef/>
      </w:r>
      <w:r w:rsidRPr="001116AE">
        <w:rPr>
          <w:sz w:val="18"/>
          <w:szCs w:val="18"/>
          <w:shd w:val="clear" w:color="auto" w:fill="FFFFFF"/>
          <w:lang w:val="en-AU"/>
        </w:rPr>
        <w:t xml:space="preserve"> </w:t>
      </w:r>
      <w:proofErr w:type="gramStart"/>
      <w:r w:rsidRPr="001116AE">
        <w:rPr>
          <w:sz w:val="18"/>
          <w:szCs w:val="18"/>
          <w:shd w:val="clear" w:color="auto" w:fill="FFFFFF"/>
          <w:lang w:val="en-AU"/>
        </w:rPr>
        <w:t>IUCN (2013) see above, n1.</w:t>
      </w:r>
      <w:proofErr w:type="gramEnd"/>
    </w:p>
  </w:footnote>
  <w:footnote w:id="8">
    <w:p w:rsidR="00593022" w:rsidRDefault="00593022" w:rsidP="004F21CC">
      <w:pPr>
        <w:pStyle w:val="FootnoteText"/>
      </w:pPr>
      <w:r w:rsidRPr="00105A0A">
        <w:rPr>
          <w:rStyle w:val="FootnoteReference"/>
          <w:sz w:val="18"/>
          <w:szCs w:val="18"/>
        </w:rPr>
        <w:footnoteRef/>
      </w:r>
      <w:r>
        <w:t xml:space="preserve"> </w:t>
      </w:r>
      <w:proofErr w:type="gramStart"/>
      <w:r w:rsidRPr="00966482">
        <w:rPr>
          <w:sz w:val="18"/>
          <w:szCs w:val="18"/>
        </w:rPr>
        <w:t xml:space="preserve">IUCN </w:t>
      </w:r>
      <w:r>
        <w:rPr>
          <w:sz w:val="18"/>
          <w:szCs w:val="18"/>
        </w:rPr>
        <w:t xml:space="preserve">(2000) </w:t>
      </w:r>
      <w:r w:rsidRPr="00966482">
        <w:rPr>
          <w:i/>
          <w:sz w:val="18"/>
          <w:szCs w:val="18"/>
        </w:rPr>
        <w:t>Policy on Sustainable Use of Wild Living Resources</w:t>
      </w:r>
      <w:r w:rsidRPr="00966482">
        <w:rPr>
          <w:sz w:val="18"/>
          <w:szCs w:val="18"/>
        </w:rPr>
        <w:t xml:space="preserve">, </w:t>
      </w:r>
      <w:r>
        <w:rPr>
          <w:sz w:val="18"/>
          <w:szCs w:val="18"/>
        </w:rPr>
        <w:t>WCC</w:t>
      </w:r>
      <w:r w:rsidRPr="00966482">
        <w:rPr>
          <w:sz w:val="18"/>
          <w:szCs w:val="18"/>
        </w:rPr>
        <w:t xml:space="preserve"> Res. 2.29.</w:t>
      </w:r>
      <w:proofErr w:type="gramEnd"/>
      <w:r w:rsidRPr="00966482">
        <w:rPr>
          <w:sz w:val="18"/>
          <w:szCs w:val="18"/>
        </w:rPr>
        <w:t xml:space="preserve"> Online at http://www.iucn.org/about/union/commissions/sustainable_use_and_livelihoods_specialist_group/resources/res_supolstat/</w:t>
      </w:r>
    </w:p>
  </w:footnote>
  <w:footnote w:id="9">
    <w:p w:rsidR="00593022" w:rsidRDefault="00593022" w:rsidP="004F21CC">
      <w:pPr>
        <w:pStyle w:val="FootnoteText"/>
      </w:pPr>
      <w:r w:rsidRPr="00A37682">
        <w:rPr>
          <w:rStyle w:val="FootnoteReference"/>
          <w:sz w:val="18"/>
          <w:szCs w:val="18"/>
        </w:rPr>
        <w:footnoteRef/>
      </w:r>
      <w:r>
        <w:rPr>
          <w:sz w:val="18"/>
          <w:szCs w:val="18"/>
        </w:rPr>
        <w:t xml:space="preserve"> </w:t>
      </w:r>
      <w:proofErr w:type="gramStart"/>
      <w:r>
        <w:rPr>
          <w:sz w:val="18"/>
          <w:szCs w:val="18"/>
        </w:rPr>
        <w:t xml:space="preserve">IUCN (2004) </w:t>
      </w:r>
      <w:r w:rsidRPr="004F21CC">
        <w:rPr>
          <w:i/>
          <w:sz w:val="18"/>
          <w:szCs w:val="18"/>
        </w:rPr>
        <w:t>Application of the IUCN Sustainable Use Policy to sustainable consumptive use of wildlife and recreational hunting in southern Africa</w:t>
      </w:r>
      <w:r>
        <w:rPr>
          <w:sz w:val="18"/>
          <w:szCs w:val="18"/>
        </w:rPr>
        <w:t xml:space="preserve"> WCC Rec </w:t>
      </w:r>
      <w:r w:rsidRPr="004F21CC">
        <w:rPr>
          <w:sz w:val="18"/>
          <w:szCs w:val="18"/>
        </w:rPr>
        <w:t>3.093</w:t>
      </w:r>
      <w:r>
        <w:rPr>
          <w:sz w:val="18"/>
          <w:szCs w:val="18"/>
        </w:rPr>
        <w:t>.</w:t>
      </w:r>
      <w:proofErr w:type="gramEnd"/>
      <w:r>
        <w:rPr>
          <w:sz w:val="18"/>
          <w:szCs w:val="18"/>
        </w:rPr>
        <w:t xml:space="preserve"> Online at </w:t>
      </w:r>
      <w:r w:rsidRPr="004F21CC">
        <w:rPr>
          <w:sz w:val="18"/>
          <w:szCs w:val="18"/>
        </w:rPr>
        <w:t>https://portals.iucn.org/library/efiles/edocs/WCC-3rd-005.pdf</w:t>
      </w:r>
    </w:p>
  </w:footnote>
  <w:footnote w:id="10">
    <w:p w:rsidR="00593022" w:rsidRDefault="00593022" w:rsidP="004F21CC">
      <w:pPr>
        <w:contextualSpacing/>
      </w:pPr>
      <w:r w:rsidRPr="00A37682">
        <w:rPr>
          <w:rStyle w:val="FootnoteReference"/>
          <w:rFonts w:ascii="Cambria" w:hAnsi="Cambria"/>
          <w:sz w:val="18"/>
          <w:szCs w:val="18"/>
          <w:lang w:val="en-US"/>
        </w:rPr>
        <w:footnoteRef/>
      </w:r>
      <w:r w:rsidRPr="00A37682">
        <w:rPr>
          <w:rStyle w:val="FootnoteReference"/>
          <w:rFonts w:ascii="Cambria" w:hAnsi="Cambria"/>
          <w:sz w:val="18"/>
          <w:szCs w:val="18"/>
          <w:vertAlign w:val="baseline"/>
          <w:lang w:val="en-US" w:eastAsia="en-US"/>
        </w:rPr>
        <w:t xml:space="preserve"> </w:t>
      </w:r>
      <w:r w:rsidRPr="00A37682">
        <w:rPr>
          <w:rStyle w:val="FootnoteReference"/>
          <w:rFonts w:ascii="Cambria" w:hAnsi="Cambria"/>
          <w:sz w:val="18"/>
          <w:szCs w:val="18"/>
          <w:vertAlign w:val="baseline"/>
        </w:rPr>
        <w:t xml:space="preserve">IUCN SSC </w:t>
      </w:r>
      <w:r>
        <w:rPr>
          <w:rFonts w:ascii="Cambria" w:hAnsi="Cambria"/>
          <w:sz w:val="18"/>
          <w:szCs w:val="18"/>
        </w:rPr>
        <w:t>(2000)</w:t>
      </w:r>
      <w:r>
        <w:rPr>
          <w:rStyle w:val="FootnoteReference"/>
          <w:rFonts w:ascii="Cambria" w:hAnsi="Cambria"/>
          <w:sz w:val="18"/>
          <w:szCs w:val="18"/>
          <w:vertAlign w:val="baseline"/>
        </w:rPr>
        <w:t xml:space="preserve"> supra n5.</w:t>
      </w:r>
    </w:p>
  </w:footnote>
  <w:footnote w:id="11">
    <w:p w:rsidR="00593022" w:rsidRPr="0090401C" w:rsidRDefault="00593022" w:rsidP="0090401C">
      <w:pPr>
        <w:pStyle w:val="Default"/>
        <w:rPr>
          <w:rFonts w:asciiTheme="majorHAnsi" w:hAnsiTheme="majorHAnsi"/>
          <w:sz w:val="18"/>
          <w:szCs w:val="18"/>
        </w:rPr>
      </w:pPr>
      <w:r w:rsidRPr="0090401C">
        <w:rPr>
          <w:rStyle w:val="FootnoteReference"/>
          <w:rFonts w:asciiTheme="majorHAnsi" w:hAnsiTheme="majorHAnsi"/>
          <w:sz w:val="18"/>
          <w:szCs w:val="18"/>
        </w:rPr>
        <w:footnoteRef/>
      </w:r>
      <w:r w:rsidRPr="0090401C">
        <w:rPr>
          <w:rFonts w:asciiTheme="majorHAnsi" w:hAnsiTheme="majorHAnsi"/>
          <w:sz w:val="18"/>
          <w:szCs w:val="18"/>
        </w:rPr>
        <w:t xml:space="preserve"> </w:t>
      </w:r>
      <w:proofErr w:type="gramStart"/>
      <w:r w:rsidRPr="0090401C">
        <w:rPr>
          <w:rFonts w:asciiTheme="majorHAnsi" w:hAnsiTheme="majorHAnsi"/>
          <w:sz w:val="18"/>
          <w:szCs w:val="18"/>
        </w:rPr>
        <w:t xml:space="preserve">IUCN </w:t>
      </w:r>
      <w:r>
        <w:rPr>
          <w:rFonts w:asciiTheme="majorHAnsi" w:hAnsiTheme="majorHAnsi"/>
          <w:sz w:val="18"/>
          <w:szCs w:val="18"/>
        </w:rPr>
        <w:t xml:space="preserve">(2012) </w:t>
      </w:r>
      <w:r w:rsidRPr="0090401C">
        <w:rPr>
          <w:rFonts w:asciiTheme="majorHAnsi" w:hAnsiTheme="majorHAnsi"/>
          <w:bCs/>
          <w:i/>
          <w:sz w:val="18"/>
          <w:szCs w:val="18"/>
        </w:rPr>
        <w:t>Conservation of rhinoceros species in Africa and Asia</w:t>
      </w:r>
      <w:r w:rsidRPr="0090401C">
        <w:rPr>
          <w:rFonts w:asciiTheme="majorHAnsi" w:hAnsiTheme="majorHAnsi"/>
          <w:bCs/>
          <w:sz w:val="18"/>
          <w:szCs w:val="18"/>
        </w:rPr>
        <w:t>.</w:t>
      </w:r>
      <w:proofErr w:type="gramEnd"/>
      <w:r w:rsidRPr="0090401C">
        <w:rPr>
          <w:rFonts w:asciiTheme="majorHAnsi" w:hAnsiTheme="majorHAnsi"/>
          <w:bCs/>
          <w:sz w:val="18"/>
          <w:szCs w:val="18"/>
        </w:rPr>
        <w:t xml:space="preserve"> </w:t>
      </w:r>
      <w:r>
        <w:rPr>
          <w:rFonts w:asciiTheme="majorHAnsi" w:hAnsiTheme="majorHAnsi"/>
          <w:bCs/>
          <w:sz w:val="18"/>
          <w:szCs w:val="18"/>
        </w:rPr>
        <w:t xml:space="preserve">WCC Rec. 138. </w:t>
      </w:r>
      <w:r w:rsidRPr="0090401C">
        <w:rPr>
          <w:rFonts w:asciiTheme="majorHAnsi" w:hAnsiTheme="majorHAnsi"/>
          <w:bCs/>
          <w:sz w:val="18"/>
          <w:szCs w:val="18"/>
        </w:rPr>
        <w:t>Online at http://www.rhinos.org/Assets/wcc-2012-rec-138-en-conservation-of-rhinoceros-sp.pdf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tblLayout w:type="fixed"/>
      <w:tblCellMar>
        <w:left w:w="0" w:type="dxa"/>
        <w:right w:w="0" w:type="dxa"/>
      </w:tblCellMar>
      <w:tblLook w:val="00A0"/>
    </w:tblPr>
    <w:tblGrid>
      <w:gridCol w:w="2694"/>
      <w:gridCol w:w="2268"/>
      <w:gridCol w:w="4110"/>
    </w:tblGrid>
    <w:tr w:rsidR="00593022" w:rsidRPr="00895D4C" w:rsidTr="00BF29DC">
      <w:tc>
        <w:tcPr>
          <w:tcW w:w="2694" w:type="dxa"/>
          <w:vAlign w:val="center"/>
        </w:tcPr>
        <w:p w:rsidR="00593022" w:rsidRPr="00895D4C" w:rsidRDefault="00593022" w:rsidP="00BF29DC">
          <w:pPr>
            <w:pStyle w:val="Header"/>
            <w:tabs>
              <w:tab w:val="clear" w:pos="4320"/>
              <w:tab w:val="clear" w:pos="8640"/>
            </w:tabs>
          </w:pPr>
          <w:r>
            <w:rPr>
              <w:noProof/>
            </w:rPr>
            <w:drawing>
              <wp:inline distT="0" distB="0" distL="0" distR="0">
                <wp:extent cx="1581150" cy="793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81150" cy="793750"/>
                        </a:xfrm>
                        <a:prstGeom prst="rect">
                          <a:avLst/>
                        </a:prstGeom>
                        <a:noFill/>
                        <a:ln>
                          <a:noFill/>
                        </a:ln>
                      </pic:spPr>
                    </pic:pic>
                  </a:graphicData>
                </a:graphic>
              </wp:inline>
            </w:drawing>
          </w:r>
          <w:r w:rsidRPr="00895D4C">
            <w:rPr>
              <w:noProof/>
            </w:rPr>
            <w:t xml:space="preserve"> </w:t>
          </w:r>
        </w:p>
      </w:tc>
      <w:tc>
        <w:tcPr>
          <w:tcW w:w="2268" w:type="dxa"/>
          <w:vAlign w:val="center"/>
        </w:tcPr>
        <w:p w:rsidR="00593022" w:rsidRPr="00895D4C" w:rsidRDefault="00593022" w:rsidP="00BF29DC">
          <w:pPr>
            <w:pStyle w:val="Header"/>
            <w:tabs>
              <w:tab w:val="clear" w:pos="4320"/>
              <w:tab w:val="clear" w:pos="8640"/>
            </w:tabs>
            <w:rPr>
              <w:noProof/>
            </w:rPr>
          </w:pPr>
          <w:r>
            <w:rPr>
              <w:noProof/>
            </w:rPr>
            <w:drawing>
              <wp:inline distT="0" distB="0" distL="0" distR="0">
                <wp:extent cx="1136650" cy="698500"/>
                <wp:effectExtent l="0" t="0" r="6350" b="1270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36650" cy="698500"/>
                        </a:xfrm>
                        <a:prstGeom prst="rect">
                          <a:avLst/>
                        </a:prstGeom>
                        <a:noFill/>
                        <a:ln>
                          <a:noFill/>
                        </a:ln>
                      </pic:spPr>
                    </pic:pic>
                  </a:graphicData>
                </a:graphic>
              </wp:inline>
            </w:drawing>
          </w:r>
        </w:p>
      </w:tc>
      <w:tc>
        <w:tcPr>
          <w:tcW w:w="4110" w:type="dxa"/>
        </w:tcPr>
        <w:p w:rsidR="00593022" w:rsidRPr="00895D4C" w:rsidRDefault="00593022" w:rsidP="00BF29DC">
          <w:pPr>
            <w:pStyle w:val="Header"/>
            <w:tabs>
              <w:tab w:val="clear" w:pos="4320"/>
              <w:tab w:val="clear" w:pos="8640"/>
            </w:tabs>
            <w:jc w:val="right"/>
            <w:rPr>
              <w:rFonts w:ascii="Arial" w:hAnsi="Arial" w:cs="Arial"/>
              <w:b/>
              <w:noProof/>
            </w:rPr>
          </w:pPr>
          <w:r w:rsidRPr="00895D4C">
            <w:rPr>
              <w:rFonts w:ascii="Arial" w:hAnsi="Arial" w:cs="Arial"/>
              <w:b/>
              <w:noProof/>
            </w:rPr>
            <w:t>SULi</w:t>
          </w:r>
        </w:p>
        <w:p w:rsidR="00593022" w:rsidRPr="00895D4C" w:rsidRDefault="00593022" w:rsidP="00BF29DC">
          <w:pPr>
            <w:pStyle w:val="Header"/>
            <w:tabs>
              <w:tab w:val="clear" w:pos="4320"/>
              <w:tab w:val="clear" w:pos="8640"/>
            </w:tabs>
            <w:jc w:val="right"/>
            <w:rPr>
              <w:rFonts w:ascii="Arial" w:hAnsi="Arial" w:cs="Arial"/>
              <w:noProof/>
            </w:rPr>
          </w:pPr>
          <w:r w:rsidRPr="00895D4C">
            <w:rPr>
              <w:rFonts w:ascii="Arial" w:hAnsi="Arial" w:cs="Arial"/>
              <w:noProof/>
            </w:rPr>
            <w:t xml:space="preserve">Sustainable Use and Livelihoods </w:t>
          </w:r>
        </w:p>
        <w:p w:rsidR="00593022" w:rsidRPr="00895D4C" w:rsidRDefault="00593022" w:rsidP="00BF29DC">
          <w:pPr>
            <w:pStyle w:val="Header"/>
            <w:tabs>
              <w:tab w:val="clear" w:pos="4320"/>
              <w:tab w:val="clear" w:pos="8640"/>
            </w:tabs>
            <w:jc w:val="right"/>
            <w:rPr>
              <w:rFonts w:ascii="Arial" w:hAnsi="Arial" w:cs="Arial"/>
              <w:noProof/>
            </w:rPr>
          </w:pPr>
          <w:r w:rsidRPr="00895D4C">
            <w:rPr>
              <w:rFonts w:ascii="Arial" w:hAnsi="Arial" w:cs="Arial"/>
              <w:noProof/>
            </w:rPr>
            <w:t>Specialist Group</w:t>
          </w:r>
        </w:p>
        <w:p w:rsidR="00593022" w:rsidRPr="00895D4C" w:rsidRDefault="00593022" w:rsidP="00BF29DC">
          <w:pPr>
            <w:pStyle w:val="Header"/>
            <w:tabs>
              <w:tab w:val="clear" w:pos="4320"/>
              <w:tab w:val="clear" w:pos="8640"/>
            </w:tabs>
            <w:jc w:val="right"/>
            <w:rPr>
              <w:rFonts w:ascii="Arial" w:hAnsi="Arial" w:cs="Arial"/>
              <w:noProof/>
              <w:sz w:val="18"/>
              <w:szCs w:val="18"/>
            </w:rPr>
          </w:pPr>
          <w:r w:rsidRPr="00895D4C">
            <w:rPr>
              <w:rFonts w:ascii="Arial" w:hAnsi="Arial" w:cs="Arial"/>
              <w:noProof/>
              <w:sz w:val="18"/>
              <w:szCs w:val="18"/>
            </w:rPr>
            <w:t>Chair: Rosie Cooney</w:t>
          </w:r>
        </w:p>
        <w:p w:rsidR="00593022" w:rsidRPr="00895D4C" w:rsidRDefault="00593022" w:rsidP="00BF29DC">
          <w:pPr>
            <w:pStyle w:val="Header"/>
            <w:tabs>
              <w:tab w:val="clear" w:pos="4320"/>
              <w:tab w:val="clear" w:pos="8640"/>
            </w:tabs>
            <w:jc w:val="right"/>
            <w:rPr>
              <w:noProof/>
            </w:rPr>
          </w:pPr>
          <w:r w:rsidRPr="00895D4C">
            <w:rPr>
              <w:rFonts w:ascii="Arial" w:hAnsi="Arial" w:cs="Arial"/>
              <w:noProof/>
              <w:sz w:val="18"/>
              <w:szCs w:val="18"/>
            </w:rPr>
            <w:t>rosie.cooney@iucn.org</w:t>
          </w:r>
        </w:p>
      </w:tc>
    </w:tr>
  </w:tbl>
  <w:p w:rsidR="00593022" w:rsidRDefault="005930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C3C1E"/>
    <w:multiLevelType w:val="hybridMultilevel"/>
    <w:tmpl w:val="016AA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6277E"/>
    <w:multiLevelType w:val="hybridMultilevel"/>
    <w:tmpl w:val="D8C4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B7A76"/>
    <w:multiLevelType w:val="hybridMultilevel"/>
    <w:tmpl w:val="A2C4B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2B439A4"/>
    <w:multiLevelType w:val="hybridMultilevel"/>
    <w:tmpl w:val="F99A4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A633B6"/>
    <w:rsid w:val="0002248F"/>
    <w:rsid w:val="00044D5C"/>
    <w:rsid w:val="00046153"/>
    <w:rsid w:val="00063278"/>
    <w:rsid w:val="0006454C"/>
    <w:rsid w:val="0006734E"/>
    <w:rsid w:val="000C429E"/>
    <w:rsid w:val="000E01B2"/>
    <w:rsid w:val="000E31C3"/>
    <w:rsid w:val="000E4F66"/>
    <w:rsid w:val="000F7BBF"/>
    <w:rsid w:val="00105A0A"/>
    <w:rsid w:val="001116AE"/>
    <w:rsid w:val="00164110"/>
    <w:rsid w:val="00170E1A"/>
    <w:rsid w:val="001841B2"/>
    <w:rsid w:val="00223023"/>
    <w:rsid w:val="00234F7C"/>
    <w:rsid w:val="00244AA5"/>
    <w:rsid w:val="00256CBB"/>
    <w:rsid w:val="00265243"/>
    <w:rsid w:val="002D7003"/>
    <w:rsid w:val="002E4E4B"/>
    <w:rsid w:val="0030734B"/>
    <w:rsid w:val="003150C7"/>
    <w:rsid w:val="003241B9"/>
    <w:rsid w:val="003468A4"/>
    <w:rsid w:val="00350A54"/>
    <w:rsid w:val="0035281A"/>
    <w:rsid w:val="003658AF"/>
    <w:rsid w:val="00373601"/>
    <w:rsid w:val="00377C3D"/>
    <w:rsid w:val="00381ED3"/>
    <w:rsid w:val="003959A0"/>
    <w:rsid w:val="003C2294"/>
    <w:rsid w:val="00402A18"/>
    <w:rsid w:val="00406D7D"/>
    <w:rsid w:val="00407049"/>
    <w:rsid w:val="00410B1D"/>
    <w:rsid w:val="004330DD"/>
    <w:rsid w:val="00433B94"/>
    <w:rsid w:val="00441E55"/>
    <w:rsid w:val="00466AC0"/>
    <w:rsid w:val="004B4A4A"/>
    <w:rsid w:val="004B577C"/>
    <w:rsid w:val="004F21CC"/>
    <w:rsid w:val="00503345"/>
    <w:rsid w:val="005142B9"/>
    <w:rsid w:val="005414E1"/>
    <w:rsid w:val="0056373E"/>
    <w:rsid w:val="00572D4C"/>
    <w:rsid w:val="00593022"/>
    <w:rsid w:val="005C7BDD"/>
    <w:rsid w:val="005D74C6"/>
    <w:rsid w:val="005E4A89"/>
    <w:rsid w:val="005F7113"/>
    <w:rsid w:val="005F7D02"/>
    <w:rsid w:val="0063246C"/>
    <w:rsid w:val="00674239"/>
    <w:rsid w:val="0069096B"/>
    <w:rsid w:val="006C6BEE"/>
    <w:rsid w:val="006D24E8"/>
    <w:rsid w:val="007019B4"/>
    <w:rsid w:val="0070408C"/>
    <w:rsid w:val="007116B5"/>
    <w:rsid w:val="0075100F"/>
    <w:rsid w:val="0075433F"/>
    <w:rsid w:val="00756738"/>
    <w:rsid w:val="00761269"/>
    <w:rsid w:val="007C242D"/>
    <w:rsid w:val="007C7057"/>
    <w:rsid w:val="007D485A"/>
    <w:rsid w:val="00866CDA"/>
    <w:rsid w:val="00882315"/>
    <w:rsid w:val="00895D4C"/>
    <w:rsid w:val="008976CA"/>
    <w:rsid w:val="008B21FD"/>
    <w:rsid w:val="008E107C"/>
    <w:rsid w:val="0090401C"/>
    <w:rsid w:val="0090560F"/>
    <w:rsid w:val="00917839"/>
    <w:rsid w:val="00953939"/>
    <w:rsid w:val="00966482"/>
    <w:rsid w:val="009864E9"/>
    <w:rsid w:val="009C789D"/>
    <w:rsid w:val="00A00565"/>
    <w:rsid w:val="00A02523"/>
    <w:rsid w:val="00A307E9"/>
    <w:rsid w:val="00A37682"/>
    <w:rsid w:val="00A633B6"/>
    <w:rsid w:val="00A671AB"/>
    <w:rsid w:val="00A67A68"/>
    <w:rsid w:val="00A815CF"/>
    <w:rsid w:val="00A94159"/>
    <w:rsid w:val="00AB104A"/>
    <w:rsid w:val="00AC3CB8"/>
    <w:rsid w:val="00AC7549"/>
    <w:rsid w:val="00AD0781"/>
    <w:rsid w:val="00AE0137"/>
    <w:rsid w:val="00AF4AE5"/>
    <w:rsid w:val="00B03FA6"/>
    <w:rsid w:val="00B137B6"/>
    <w:rsid w:val="00BB3BEB"/>
    <w:rsid w:val="00BC58A2"/>
    <w:rsid w:val="00BD45A5"/>
    <w:rsid w:val="00BF29DC"/>
    <w:rsid w:val="00BF7787"/>
    <w:rsid w:val="00C521AE"/>
    <w:rsid w:val="00C7389B"/>
    <w:rsid w:val="00CB4884"/>
    <w:rsid w:val="00CD63B6"/>
    <w:rsid w:val="00CF64A2"/>
    <w:rsid w:val="00D02704"/>
    <w:rsid w:val="00D504D8"/>
    <w:rsid w:val="00D9462E"/>
    <w:rsid w:val="00D94F07"/>
    <w:rsid w:val="00DA3CB9"/>
    <w:rsid w:val="00E0490F"/>
    <w:rsid w:val="00E50579"/>
    <w:rsid w:val="00E8280F"/>
    <w:rsid w:val="00E907DF"/>
    <w:rsid w:val="00EA131D"/>
    <w:rsid w:val="00EF69BA"/>
    <w:rsid w:val="00F518D9"/>
    <w:rsid w:val="00F8762F"/>
    <w:rsid w:val="00FB2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B6"/>
    <w:rPr>
      <w:rFonts w:ascii="Times New Roman" w:hAnsi="Times New Roman"/>
      <w:sz w:val="24"/>
      <w:szCs w:val="24"/>
    </w:rPr>
  </w:style>
  <w:style w:type="paragraph" w:styleId="Heading2">
    <w:name w:val="heading 2"/>
    <w:basedOn w:val="Normal"/>
    <w:next w:val="Normal"/>
    <w:link w:val="Heading2Char"/>
    <w:uiPriority w:val="99"/>
    <w:qFormat/>
    <w:rsid w:val="005F7D02"/>
    <w:pPr>
      <w:keepNext/>
      <w:keepLines/>
      <w:spacing w:before="200" w:after="120"/>
      <w:outlineLvl w:val="1"/>
    </w:pPr>
    <w:rPr>
      <w:rFonts w:ascii="Calibri" w:eastAsia="MS ????" w:hAnsi="Calibri"/>
      <w:b/>
      <w:bCs/>
      <w:color w:val="000000"/>
      <w:sz w:val="22"/>
      <w:szCs w:val="22"/>
      <w:shd w:val="clear" w:color="auto" w:fill="FFFFFF"/>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F7D02"/>
    <w:rPr>
      <w:rFonts w:ascii="Calibri" w:eastAsia="MS ????" w:hAnsi="Calibri" w:cs="Times New Roman"/>
      <w:b/>
      <w:bCs/>
      <w:color w:val="000000"/>
      <w:sz w:val="22"/>
      <w:szCs w:val="22"/>
      <w:lang w:val="en-AU"/>
    </w:rPr>
  </w:style>
  <w:style w:type="paragraph" w:styleId="BalloonText">
    <w:name w:val="Balloon Text"/>
    <w:basedOn w:val="Normal"/>
    <w:link w:val="BalloonTextChar"/>
    <w:uiPriority w:val="99"/>
    <w:semiHidden/>
    <w:rsid w:val="00441E55"/>
    <w:rPr>
      <w:rFonts w:ascii="Lucida Grande" w:hAnsi="Lucida Grande" w:cs="Lucida Grande"/>
      <w:sz w:val="18"/>
      <w:szCs w:val="18"/>
      <w:lang w:val="en-US" w:eastAsia="en-US"/>
    </w:rPr>
  </w:style>
  <w:style w:type="character" w:customStyle="1" w:styleId="BalloonTextChar">
    <w:name w:val="Balloon Text Char"/>
    <w:basedOn w:val="DefaultParagraphFont"/>
    <w:link w:val="BalloonText"/>
    <w:uiPriority w:val="99"/>
    <w:semiHidden/>
    <w:locked/>
    <w:rsid w:val="00441E55"/>
    <w:rPr>
      <w:rFonts w:ascii="Lucida Grande" w:hAnsi="Lucida Grande" w:cs="Lucida Grande"/>
      <w:sz w:val="18"/>
      <w:szCs w:val="18"/>
    </w:rPr>
  </w:style>
  <w:style w:type="paragraph" w:styleId="Header">
    <w:name w:val="header"/>
    <w:basedOn w:val="Normal"/>
    <w:link w:val="HeaderChar"/>
    <w:uiPriority w:val="99"/>
    <w:rsid w:val="00BF29DC"/>
    <w:pPr>
      <w:tabs>
        <w:tab w:val="center" w:pos="4320"/>
        <w:tab w:val="right" w:pos="8640"/>
      </w:tabs>
    </w:pPr>
    <w:rPr>
      <w:rFonts w:ascii="Cambria" w:hAnsi="Cambria"/>
      <w:lang w:val="en-US" w:eastAsia="en-US"/>
    </w:rPr>
  </w:style>
  <w:style w:type="character" w:customStyle="1" w:styleId="HeaderChar">
    <w:name w:val="Header Char"/>
    <w:basedOn w:val="DefaultParagraphFont"/>
    <w:link w:val="Header"/>
    <w:uiPriority w:val="99"/>
    <w:locked/>
    <w:rsid w:val="00BF29DC"/>
    <w:rPr>
      <w:rFonts w:cs="Times New Roman"/>
    </w:rPr>
  </w:style>
  <w:style w:type="paragraph" w:styleId="Footer">
    <w:name w:val="footer"/>
    <w:basedOn w:val="Normal"/>
    <w:link w:val="FooterChar"/>
    <w:uiPriority w:val="99"/>
    <w:rsid w:val="00BF29DC"/>
    <w:pPr>
      <w:tabs>
        <w:tab w:val="center" w:pos="4320"/>
        <w:tab w:val="right" w:pos="8640"/>
      </w:tabs>
    </w:pPr>
    <w:rPr>
      <w:rFonts w:ascii="Cambria" w:hAnsi="Cambria"/>
      <w:lang w:val="en-US" w:eastAsia="en-US"/>
    </w:rPr>
  </w:style>
  <w:style w:type="character" w:customStyle="1" w:styleId="FooterChar">
    <w:name w:val="Footer Char"/>
    <w:basedOn w:val="DefaultParagraphFont"/>
    <w:link w:val="Footer"/>
    <w:uiPriority w:val="99"/>
    <w:locked/>
    <w:rsid w:val="00BF29DC"/>
    <w:rPr>
      <w:rFonts w:cs="Times New Roman"/>
    </w:rPr>
  </w:style>
  <w:style w:type="character" w:customStyle="1" w:styleId="apple-converted-space">
    <w:name w:val="apple-converted-space"/>
    <w:basedOn w:val="DefaultParagraphFont"/>
    <w:rsid w:val="00170E1A"/>
    <w:rPr>
      <w:rFonts w:cs="Times New Roman"/>
    </w:rPr>
  </w:style>
  <w:style w:type="paragraph" w:styleId="FootnoteText">
    <w:name w:val="footnote text"/>
    <w:basedOn w:val="Normal"/>
    <w:link w:val="FootnoteTextChar"/>
    <w:uiPriority w:val="99"/>
    <w:rsid w:val="002D7003"/>
    <w:rPr>
      <w:rFonts w:ascii="Cambria" w:hAnsi="Cambria"/>
      <w:lang w:val="en-US" w:eastAsia="en-US"/>
    </w:rPr>
  </w:style>
  <w:style w:type="character" w:customStyle="1" w:styleId="FootnoteTextChar">
    <w:name w:val="Footnote Text Char"/>
    <w:basedOn w:val="DefaultParagraphFont"/>
    <w:link w:val="FootnoteText"/>
    <w:uiPriority w:val="99"/>
    <w:locked/>
    <w:rsid w:val="002D7003"/>
    <w:rPr>
      <w:rFonts w:cs="Times New Roman"/>
    </w:rPr>
  </w:style>
  <w:style w:type="character" w:styleId="FootnoteReference">
    <w:name w:val="footnote reference"/>
    <w:basedOn w:val="DefaultParagraphFont"/>
    <w:uiPriority w:val="99"/>
    <w:rsid w:val="002D7003"/>
    <w:rPr>
      <w:rFonts w:cs="Times New Roman"/>
      <w:vertAlign w:val="superscript"/>
    </w:rPr>
  </w:style>
  <w:style w:type="character" w:styleId="Hyperlink">
    <w:name w:val="Hyperlink"/>
    <w:basedOn w:val="DefaultParagraphFont"/>
    <w:uiPriority w:val="99"/>
    <w:rsid w:val="00BB3BEB"/>
    <w:rPr>
      <w:rFonts w:cs="Times New Roman"/>
      <w:color w:val="0000FF"/>
      <w:u w:val="single"/>
    </w:rPr>
  </w:style>
  <w:style w:type="paragraph" w:styleId="PlainText">
    <w:name w:val="Plain Text"/>
    <w:basedOn w:val="Normal"/>
    <w:link w:val="PlainTextChar"/>
    <w:uiPriority w:val="99"/>
    <w:semiHidden/>
    <w:rsid w:val="00A633B6"/>
    <w:rPr>
      <w:rFonts w:ascii="Calibri" w:hAnsi="Calibri" w:cs="Consolas"/>
      <w:sz w:val="22"/>
      <w:szCs w:val="21"/>
      <w:lang w:eastAsia="en-US"/>
    </w:rPr>
  </w:style>
  <w:style w:type="character" w:customStyle="1" w:styleId="PlainTextChar">
    <w:name w:val="Plain Text Char"/>
    <w:basedOn w:val="DefaultParagraphFont"/>
    <w:link w:val="PlainText"/>
    <w:uiPriority w:val="99"/>
    <w:semiHidden/>
    <w:locked/>
    <w:rsid w:val="00A633B6"/>
    <w:rPr>
      <w:rFonts w:ascii="Calibri" w:eastAsia="Times New Roman" w:hAnsi="Calibri" w:cs="Consolas"/>
      <w:sz w:val="21"/>
      <w:szCs w:val="21"/>
      <w:lang w:val="en-ZA"/>
    </w:rPr>
  </w:style>
  <w:style w:type="character" w:styleId="CommentReference">
    <w:name w:val="annotation reference"/>
    <w:basedOn w:val="DefaultParagraphFont"/>
    <w:uiPriority w:val="99"/>
    <w:semiHidden/>
    <w:rsid w:val="00A633B6"/>
    <w:rPr>
      <w:rFonts w:cs="Times New Roman"/>
      <w:sz w:val="16"/>
      <w:szCs w:val="16"/>
    </w:rPr>
  </w:style>
  <w:style w:type="paragraph" w:styleId="CommentText">
    <w:name w:val="annotation text"/>
    <w:basedOn w:val="Normal"/>
    <w:link w:val="CommentTextChar"/>
    <w:uiPriority w:val="99"/>
    <w:semiHidden/>
    <w:rsid w:val="00A633B6"/>
    <w:rPr>
      <w:sz w:val="20"/>
      <w:szCs w:val="20"/>
    </w:rPr>
  </w:style>
  <w:style w:type="character" w:customStyle="1" w:styleId="CommentTextChar">
    <w:name w:val="Comment Text Char"/>
    <w:basedOn w:val="DefaultParagraphFont"/>
    <w:link w:val="CommentText"/>
    <w:uiPriority w:val="99"/>
    <w:semiHidden/>
    <w:locked/>
    <w:rsid w:val="00A633B6"/>
    <w:rPr>
      <w:rFonts w:ascii="Times New Roman" w:eastAsia="Times New Roman" w:hAnsi="Times New Roman" w:cs="Times New Roman"/>
      <w:sz w:val="20"/>
      <w:szCs w:val="20"/>
      <w:lang w:val="en-ZA" w:eastAsia="en-ZA"/>
    </w:rPr>
  </w:style>
  <w:style w:type="paragraph" w:styleId="CommentSubject">
    <w:name w:val="annotation subject"/>
    <w:basedOn w:val="CommentText"/>
    <w:next w:val="CommentText"/>
    <w:link w:val="CommentSubjectChar"/>
    <w:uiPriority w:val="99"/>
    <w:semiHidden/>
    <w:rsid w:val="009C789D"/>
    <w:rPr>
      <w:b/>
      <w:bCs/>
    </w:rPr>
  </w:style>
  <w:style w:type="character" w:customStyle="1" w:styleId="CommentSubjectChar">
    <w:name w:val="Comment Subject Char"/>
    <w:basedOn w:val="CommentTextChar"/>
    <w:link w:val="CommentSubject"/>
    <w:uiPriority w:val="99"/>
    <w:semiHidden/>
    <w:locked/>
    <w:rsid w:val="009C789D"/>
    <w:rPr>
      <w:rFonts w:ascii="Times New Roman" w:eastAsia="Times New Roman" w:hAnsi="Times New Roman" w:cs="Times New Roman"/>
      <w:b/>
      <w:bCs/>
      <w:sz w:val="20"/>
      <w:szCs w:val="20"/>
      <w:lang w:val="en-ZA" w:eastAsia="en-ZA"/>
    </w:rPr>
  </w:style>
  <w:style w:type="paragraph" w:customStyle="1" w:styleId="Default">
    <w:name w:val="Default"/>
    <w:rsid w:val="0090401C"/>
    <w:pPr>
      <w:widowControl w:val="0"/>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34"/>
    <w:qFormat/>
    <w:rsid w:val="001116AE"/>
    <w:pPr>
      <w:ind w:left="720"/>
      <w:contextualSpacing/>
    </w:pPr>
  </w:style>
  <w:style w:type="character" w:customStyle="1" w:styleId="il">
    <w:name w:val="il"/>
    <w:basedOn w:val="DefaultParagraphFont"/>
    <w:rsid w:val="002E4E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ZA" w:eastAsia="en-Z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B6"/>
    <w:rPr>
      <w:rFonts w:ascii="Times New Roman" w:hAnsi="Times New Roman"/>
      <w:sz w:val="24"/>
      <w:szCs w:val="24"/>
    </w:rPr>
  </w:style>
  <w:style w:type="paragraph" w:styleId="Heading2">
    <w:name w:val="heading 2"/>
    <w:basedOn w:val="Normal"/>
    <w:next w:val="Normal"/>
    <w:link w:val="Heading2Char"/>
    <w:uiPriority w:val="99"/>
    <w:qFormat/>
    <w:rsid w:val="005F7D02"/>
    <w:pPr>
      <w:keepNext/>
      <w:keepLines/>
      <w:spacing w:before="200" w:after="120"/>
      <w:outlineLvl w:val="1"/>
    </w:pPr>
    <w:rPr>
      <w:rFonts w:ascii="Calibri" w:eastAsia="MS ????" w:hAnsi="Calibri"/>
      <w:b/>
      <w:bCs/>
      <w:color w:val="000000"/>
      <w:sz w:val="22"/>
      <w:szCs w:val="22"/>
      <w:shd w:val="clear" w:color="auto" w:fill="FFFFFF"/>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F7D02"/>
    <w:rPr>
      <w:rFonts w:ascii="Calibri" w:eastAsia="MS ????" w:hAnsi="Calibri" w:cs="Times New Roman"/>
      <w:b/>
      <w:bCs/>
      <w:color w:val="000000"/>
      <w:sz w:val="22"/>
      <w:szCs w:val="22"/>
      <w:lang w:val="en-AU"/>
    </w:rPr>
  </w:style>
  <w:style w:type="paragraph" w:styleId="BalloonText">
    <w:name w:val="Balloon Text"/>
    <w:basedOn w:val="Normal"/>
    <w:link w:val="BalloonTextChar"/>
    <w:uiPriority w:val="99"/>
    <w:semiHidden/>
    <w:rsid w:val="00441E55"/>
    <w:rPr>
      <w:rFonts w:ascii="Lucida Grande" w:hAnsi="Lucida Grande" w:cs="Lucida Grande"/>
      <w:sz w:val="18"/>
      <w:szCs w:val="18"/>
      <w:lang w:val="en-US" w:eastAsia="en-US"/>
    </w:rPr>
  </w:style>
  <w:style w:type="character" w:customStyle="1" w:styleId="BalloonTextChar">
    <w:name w:val="Balloon Text Char"/>
    <w:basedOn w:val="DefaultParagraphFont"/>
    <w:link w:val="BalloonText"/>
    <w:uiPriority w:val="99"/>
    <w:semiHidden/>
    <w:locked/>
    <w:rsid w:val="00441E55"/>
    <w:rPr>
      <w:rFonts w:ascii="Lucida Grande" w:hAnsi="Lucida Grande" w:cs="Lucida Grande"/>
      <w:sz w:val="18"/>
      <w:szCs w:val="18"/>
    </w:rPr>
  </w:style>
  <w:style w:type="paragraph" w:styleId="Header">
    <w:name w:val="header"/>
    <w:basedOn w:val="Normal"/>
    <w:link w:val="HeaderChar"/>
    <w:uiPriority w:val="99"/>
    <w:rsid w:val="00BF29DC"/>
    <w:pPr>
      <w:tabs>
        <w:tab w:val="center" w:pos="4320"/>
        <w:tab w:val="right" w:pos="8640"/>
      </w:tabs>
    </w:pPr>
    <w:rPr>
      <w:rFonts w:ascii="Cambria" w:hAnsi="Cambria"/>
      <w:lang w:val="en-US" w:eastAsia="en-US"/>
    </w:rPr>
  </w:style>
  <w:style w:type="character" w:customStyle="1" w:styleId="HeaderChar">
    <w:name w:val="Header Char"/>
    <w:basedOn w:val="DefaultParagraphFont"/>
    <w:link w:val="Header"/>
    <w:uiPriority w:val="99"/>
    <w:locked/>
    <w:rsid w:val="00BF29DC"/>
    <w:rPr>
      <w:rFonts w:cs="Times New Roman"/>
    </w:rPr>
  </w:style>
  <w:style w:type="paragraph" w:styleId="Footer">
    <w:name w:val="footer"/>
    <w:basedOn w:val="Normal"/>
    <w:link w:val="FooterChar"/>
    <w:uiPriority w:val="99"/>
    <w:rsid w:val="00BF29DC"/>
    <w:pPr>
      <w:tabs>
        <w:tab w:val="center" w:pos="4320"/>
        <w:tab w:val="right" w:pos="8640"/>
      </w:tabs>
    </w:pPr>
    <w:rPr>
      <w:rFonts w:ascii="Cambria" w:hAnsi="Cambria"/>
      <w:lang w:val="en-US" w:eastAsia="en-US"/>
    </w:rPr>
  </w:style>
  <w:style w:type="character" w:customStyle="1" w:styleId="FooterChar">
    <w:name w:val="Footer Char"/>
    <w:basedOn w:val="DefaultParagraphFont"/>
    <w:link w:val="Footer"/>
    <w:uiPriority w:val="99"/>
    <w:locked/>
    <w:rsid w:val="00BF29DC"/>
    <w:rPr>
      <w:rFonts w:cs="Times New Roman"/>
    </w:rPr>
  </w:style>
  <w:style w:type="character" w:customStyle="1" w:styleId="apple-converted-space">
    <w:name w:val="apple-converted-space"/>
    <w:basedOn w:val="DefaultParagraphFont"/>
    <w:rsid w:val="00170E1A"/>
    <w:rPr>
      <w:rFonts w:cs="Times New Roman"/>
    </w:rPr>
  </w:style>
  <w:style w:type="paragraph" w:styleId="FootnoteText">
    <w:name w:val="footnote text"/>
    <w:basedOn w:val="Normal"/>
    <w:link w:val="FootnoteTextChar"/>
    <w:uiPriority w:val="99"/>
    <w:rsid w:val="002D7003"/>
    <w:rPr>
      <w:rFonts w:ascii="Cambria" w:hAnsi="Cambria"/>
      <w:lang w:val="en-US" w:eastAsia="en-US"/>
    </w:rPr>
  </w:style>
  <w:style w:type="character" w:customStyle="1" w:styleId="FootnoteTextChar">
    <w:name w:val="Footnote Text Char"/>
    <w:basedOn w:val="DefaultParagraphFont"/>
    <w:link w:val="FootnoteText"/>
    <w:uiPriority w:val="99"/>
    <w:locked/>
    <w:rsid w:val="002D7003"/>
    <w:rPr>
      <w:rFonts w:cs="Times New Roman"/>
    </w:rPr>
  </w:style>
  <w:style w:type="character" w:styleId="FootnoteReference">
    <w:name w:val="footnote reference"/>
    <w:basedOn w:val="DefaultParagraphFont"/>
    <w:uiPriority w:val="99"/>
    <w:rsid w:val="002D7003"/>
    <w:rPr>
      <w:rFonts w:cs="Times New Roman"/>
      <w:vertAlign w:val="superscript"/>
    </w:rPr>
  </w:style>
  <w:style w:type="character" w:styleId="Hyperlink">
    <w:name w:val="Hyperlink"/>
    <w:basedOn w:val="DefaultParagraphFont"/>
    <w:uiPriority w:val="99"/>
    <w:rsid w:val="00BB3BEB"/>
    <w:rPr>
      <w:rFonts w:cs="Times New Roman"/>
      <w:color w:val="0000FF"/>
      <w:u w:val="single"/>
    </w:rPr>
  </w:style>
  <w:style w:type="paragraph" w:styleId="PlainText">
    <w:name w:val="Plain Text"/>
    <w:basedOn w:val="Normal"/>
    <w:link w:val="PlainTextChar"/>
    <w:uiPriority w:val="99"/>
    <w:semiHidden/>
    <w:rsid w:val="00A633B6"/>
    <w:rPr>
      <w:rFonts w:ascii="Calibri" w:hAnsi="Calibri" w:cs="Consolas"/>
      <w:sz w:val="22"/>
      <w:szCs w:val="21"/>
      <w:lang w:eastAsia="en-US"/>
    </w:rPr>
  </w:style>
  <w:style w:type="character" w:customStyle="1" w:styleId="PlainTextChar">
    <w:name w:val="Plain Text Char"/>
    <w:basedOn w:val="DefaultParagraphFont"/>
    <w:link w:val="PlainText"/>
    <w:uiPriority w:val="99"/>
    <w:semiHidden/>
    <w:locked/>
    <w:rsid w:val="00A633B6"/>
    <w:rPr>
      <w:rFonts w:ascii="Calibri" w:eastAsia="Times New Roman" w:hAnsi="Calibri" w:cs="Consolas"/>
      <w:sz w:val="21"/>
      <w:szCs w:val="21"/>
      <w:lang w:val="en-ZA"/>
    </w:rPr>
  </w:style>
  <w:style w:type="character" w:styleId="CommentReference">
    <w:name w:val="annotation reference"/>
    <w:basedOn w:val="DefaultParagraphFont"/>
    <w:uiPriority w:val="99"/>
    <w:semiHidden/>
    <w:rsid w:val="00A633B6"/>
    <w:rPr>
      <w:rFonts w:cs="Times New Roman"/>
      <w:sz w:val="16"/>
      <w:szCs w:val="16"/>
    </w:rPr>
  </w:style>
  <w:style w:type="paragraph" w:styleId="CommentText">
    <w:name w:val="annotation text"/>
    <w:basedOn w:val="Normal"/>
    <w:link w:val="CommentTextChar"/>
    <w:uiPriority w:val="99"/>
    <w:semiHidden/>
    <w:rsid w:val="00A633B6"/>
    <w:rPr>
      <w:sz w:val="20"/>
      <w:szCs w:val="20"/>
    </w:rPr>
  </w:style>
  <w:style w:type="character" w:customStyle="1" w:styleId="CommentTextChar">
    <w:name w:val="Comment Text Char"/>
    <w:basedOn w:val="DefaultParagraphFont"/>
    <w:link w:val="CommentText"/>
    <w:uiPriority w:val="99"/>
    <w:semiHidden/>
    <w:locked/>
    <w:rsid w:val="00A633B6"/>
    <w:rPr>
      <w:rFonts w:ascii="Times New Roman" w:eastAsia="Times New Roman" w:hAnsi="Times New Roman" w:cs="Times New Roman"/>
      <w:sz w:val="20"/>
      <w:szCs w:val="20"/>
      <w:lang w:val="en-ZA" w:eastAsia="en-ZA"/>
    </w:rPr>
  </w:style>
  <w:style w:type="paragraph" w:styleId="CommentSubject">
    <w:name w:val="annotation subject"/>
    <w:basedOn w:val="CommentText"/>
    <w:next w:val="CommentText"/>
    <w:link w:val="CommentSubjectChar"/>
    <w:uiPriority w:val="99"/>
    <w:semiHidden/>
    <w:rsid w:val="009C789D"/>
    <w:rPr>
      <w:b/>
      <w:bCs/>
    </w:rPr>
  </w:style>
  <w:style w:type="character" w:customStyle="1" w:styleId="CommentSubjectChar">
    <w:name w:val="Comment Subject Char"/>
    <w:basedOn w:val="CommentTextChar"/>
    <w:link w:val="CommentSubject"/>
    <w:uiPriority w:val="99"/>
    <w:semiHidden/>
    <w:locked/>
    <w:rsid w:val="009C789D"/>
    <w:rPr>
      <w:rFonts w:ascii="Times New Roman" w:eastAsia="Times New Roman" w:hAnsi="Times New Roman" w:cs="Times New Roman"/>
      <w:b/>
      <w:bCs/>
      <w:sz w:val="20"/>
      <w:szCs w:val="20"/>
      <w:lang w:val="en-ZA" w:eastAsia="en-ZA"/>
    </w:rPr>
  </w:style>
  <w:style w:type="paragraph" w:customStyle="1" w:styleId="Default">
    <w:name w:val="Default"/>
    <w:rsid w:val="0090401C"/>
    <w:pPr>
      <w:widowControl w:val="0"/>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34"/>
    <w:qFormat/>
    <w:rsid w:val="001116AE"/>
    <w:pPr>
      <w:ind w:left="720"/>
      <w:contextualSpacing/>
    </w:pPr>
  </w:style>
  <w:style w:type="character" w:customStyle="1" w:styleId="il">
    <w:name w:val="il"/>
    <w:basedOn w:val="DefaultParagraphFont"/>
    <w:rsid w:val="002E4E4B"/>
  </w:style>
</w:styles>
</file>

<file path=word/webSettings.xml><?xml version="1.0" encoding="utf-8"?>
<w:webSettings xmlns:r="http://schemas.openxmlformats.org/officeDocument/2006/relationships" xmlns:w="http://schemas.openxmlformats.org/wordprocessingml/2006/main">
  <w:divs>
    <w:div w:id="1706907577">
      <w:marLeft w:val="0"/>
      <w:marRight w:val="0"/>
      <w:marTop w:val="0"/>
      <w:marBottom w:val="0"/>
      <w:divBdr>
        <w:top w:val="none" w:sz="0" w:space="0" w:color="auto"/>
        <w:left w:val="none" w:sz="0" w:space="0" w:color="auto"/>
        <w:bottom w:val="none" w:sz="0" w:space="0" w:color="auto"/>
        <w:right w:val="none" w:sz="0" w:space="0" w:color="auto"/>
      </w:divBdr>
    </w:div>
    <w:div w:id="1706907578">
      <w:marLeft w:val="0"/>
      <w:marRight w:val="0"/>
      <w:marTop w:val="0"/>
      <w:marBottom w:val="0"/>
      <w:divBdr>
        <w:top w:val="none" w:sz="0" w:space="0" w:color="auto"/>
        <w:left w:val="none" w:sz="0" w:space="0" w:color="auto"/>
        <w:bottom w:val="none" w:sz="0" w:space="0" w:color="auto"/>
        <w:right w:val="none" w:sz="0" w:space="0" w:color="auto"/>
      </w:divBdr>
    </w:div>
    <w:div w:id="1706907579">
      <w:marLeft w:val="0"/>
      <w:marRight w:val="0"/>
      <w:marTop w:val="0"/>
      <w:marBottom w:val="0"/>
      <w:divBdr>
        <w:top w:val="none" w:sz="0" w:space="0" w:color="auto"/>
        <w:left w:val="none" w:sz="0" w:space="0" w:color="auto"/>
        <w:bottom w:val="none" w:sz="0" w:space="0" w:color="auto"/>
        <w:right w:val="none" w:sz="0" w:space="0" w:color="auto"/>
      </w:divBdr>
    </w:div>
    <w:div w:id="1706907580">
      <w:marLeft w:val="0"/>
      <w:marRight w:val="0"/>
      <w:marTop w:val="0"/>
      <w:marBottom w:val="0"/>
      <w:divBdr>
        <w:top w:val="none" w:sz="0" w:space="0" w:color="auto"/>
        <w:left w:val="none" w:sz="0" w:space="0" w:color="auto"/>
        <w:bottom w:val="none" w:sz="0" w:space="0" w:color="auto"/>
        <w:right w:val="none" w:sz="0" w:space="0" w:color="auto"/>
      </w:divBdr>
    </w:div>
    <w:div w:id="1706907581">
      <w:marLeft w:val="0"/>
      <w:marRight w:val="0"/>
      <w:marTop w:val="0"/>
      <w:marBottom w:val="0"/>
      <w:divBdr>
        <w:top w:val="none" w:sz="0" w:space="0" w:color="auto"/>
        <w:left w:val="none" w:sz="0" w:space="0" w:color="auto"/>
        <w:bottom w:val="none" w:sz="0" w:space="0" w:color="auto"/>
        <w:right w:val="none" w:sz="0" w:space="0" w:color="auto"/>
      </w:divBdr>
    </w:div>
    <w:div w:id="1706907582">
      <w:marLeft w:val="0"/>
      <w:marRight w:val="0"/>
      <w:marTop w:val="0"/>
      <w:marBottom w:val="0"/>
      <w:divBdr>
        <w:top w:val="none" w:sz="0" w:space="0" w:color="auto"/>
        <w:left w:val="none" w:sz="0" w:space="0" w:color="auto"/>
        <w:bottom w:val="none" w:sz="0" w:space="0" w:color="auto"/>
        <w:right w:val="none" w:sz="0" w:space="0" w:color="auto"/>
      </w:divBdr>
    </w:div>
    <w:div w:id="17957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acso.org.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December 2013</dc:title>
  <dc:creator>CF</dc:creator>
  <cp:lastModifiedBy>CF</cp:lastModifiedBy>
  <cp:revision>2</cp:revision>
  <dcterms:created xsi:type="dcterms:W3CDTF">2016-05-12T20:11:00Z</dcterms:created>
  <dcterms:modified xsi:type="dcterms:W3CDTF">2016-05-12T20:11:00Z</dcterms:modified>
</cp:coreProperties>
</file>